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98" w:rsidRPr="00332F98" w:rsidRDefault="00332F98" w:rsidP="00332F98">
      <w:pPr>
        <w:shd w:val="clear" w:color="auto" w:fill="E6EFF6"/>
        <w:spacing w:after="0" w:line="240" w:lineRule="auto"/>
        <w:jc w:val="center"/>
        <w:rPr>
          <w:rFonts w:ascii="Arial" w:eastAsia="Times New Roman" w:hAnsi="Arial" w:cs="Arial"/>
          <w:color w:val="222222"/>
          <w:sz w:val="21"/>
          <w:szCs w:val="21"/>
          <w:lang w:eastAsia="ru-RU"/>
        </w:rPr>
      </w:pPr>
      <w:r w:rsidRPr="00332F98">
        <w:rPr>
          <w:rFonts w:ascii="Arial" w:eastAsia="Times New Roman" w:hAnsi="Arial" w:cs="Arial"/>
          <w:b/>
          <w:bCs/>
          <w:color w:val="222222"/>
          <w:sz w:val="21"/>
          <w:szCs w:val="21"/>
          <w:lang w:eastAsia="ru-RU"/>
        </w:rPr>
        <w:t>ПРАВИЛА ГОСПИТАЛИЗАЦИИ</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b/>
          <w:bCs/>
          <w:color w:val="222222"/>
          <w:sz w:val="21"/>
          <w:szCs w:val="21"/>
          <w:lang w:eastAsia="ru-RU"/>
        </w:rPr>
        <w:t>Перечень документов для плановой госпитализации:</w:t>
      </w:r>
    </w:p>
    <w:p w:rsidR="00332F98" w:rsidRPr="00332F98" w:rsidRDefault="00332F98" w:rsidP="00332F98">
      <w:pPr>
        <w:numPr>
          <w:ilvl w:val="0"/>
          <w:numId w:val="1"/>
        </w:numPr>
        <w:shd w:val="clear" w:color="auto" w:fill="E6EFF6"/>
        <w:spacing w:before="100" w:beforeAutospacing="1" w:after="100" w:afterAutospacing="1" w:line="240" w:lineRule="auto"/>
        <w:ind w:left="0"/>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направление от участкового врача</w:t>
      </w:r>
    </w:p>
    <w:p w:rsidR="00332F98" w:rsidRPr="00332F98" w:rsidRDefault="00332F98" w:rsidP="00332F98">
      <w:pPr>
        <w:numPr>
          <w:ilvl w:val="0"/>
          <w:numId w:val="1"/>
        </w:numPr>
        <w:shd w:val="clear" w:color="auto" w:fill="E6EFF6"/>
        <w:spacing w:before="100" w:beforeAutospacing="1" w:after="100" w:afterAutospacing="1" w:line="240" w:lineRule="auto"/>
        <w:ind w:left="0"/>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полис</w:t>
      </w:r>
    </w:p>
    <w:p w:rsidR="00332F98" w:rsidRPr="00332F98" w:rsidRDefault="00332F98" w:rsidP="00332F98">
      <w:pPr>
        <w:numPr>
          <w:ilvl w:val="0"/>
          <w:numId w:val="1"/>
        </w:numPr>
        <w:shd w:val="clear" w:color="auto" w:fill="E6EFF6"/>
        <w:spacing w:before="100" w:beforeAutospacing="1" w:after="100" w:afterAutospacing="1" w:line="240" w:lineRule="auto"/>
        <w:ind w:left="0"/>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СНИЛС</w:t>
      </w:r>
    </w:p>
    <w:p w:rsidR="00332F98" w:rsidRPr="00332F98" w:rsidRDefault="00332F98" w:rsidP="00332F98">
      <w:pPr>
        <w:numPr>
          <w:ilvl w:val="0"/>
          <w:numId w:val="1"/>
        </w:numPr>
        <w:shd w:val="clear" w:color="auto" w:fill="E6EFF6"/>
        <w:spacing w:before="100" w:beforeAutospacing="1" w:after="100" w:afterAutospacing="1" w:line="240" w:lineRule="auto"/>
        <w:ind w:left="0"/>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паспорт</w:t>
      </w:r>
    </w:p>
    <w:p w:rsidR="00332F98" w:rsidRPr="00332F98" w:rsidRDefault="00332F98" w:rsidP="00332F98">
      <w:pPr>
        <w:numPr>
          <w:ilvl w:val="0"/>
          <w:numId w:val="1"/>
        </w:numPr>
        <w:shd w:val="clear" w:color="auto" w:fill="E6EFF6"/>
        <w:spacing w:before="100" w:beforeAutospacing="1" w:after="100" w:afterAutospacing="1" w:line="240" w:lineRule="auto"/>
        <w:ind w:left="0"/>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выписной эпикриз</w:t>
      </w:r>
    </w:p>
    <w:p w:rsidR="00332F98" w:rsidRPr="00332F98" w:rsidRDefault="00332F98" w:rsidP="00332F98">
      <w:pPr>
        <w:numPr>
          <w:ilvl w:val="0"/>
          <w:numId w:val="1"/>
        </w:numPr>
        <w:shd w:val="clear" w:color="auto" w:fill="E6EFF6"/>
        <w:spacing w:before="100" w:beforeAutospacing="1" w:after="100" w:afterAutospacing="1" w:line="240" w:lineRule="auto"/>
        <w:ind w:left="0"/>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амбулаторная карта</w:t>
      </w:r>
    </w:p>
    <w:p w:rsidR="00332F98" w:rsidRPr="00332F98" w:rsidRDefault="00332F98" w:rsidP="00332F98">
      <w:pPr>
        <w:numPr>
          <w:ilvl w:val="0"/>
          <w:numId w:val="1"/>
        </w:numPr>
        <w:shd w:val="clear" w:color="auto" w:fill="E6EFF6"/>
        <w:spacing w:before="100" w:beforeAutospacing="1" w:after="100" w:afterAutospacing="1" w:line="240" w:lineRule="auto"/>
        <w:ind w:left="0"/>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ЭКГ (действительно две недели)</w:t>
      </w:r>
    </w:p>
    <w:p w:rsidR="00332F98" w:rsidRPr="00332F98" w:rsidRDefault="00332F98" w:rsidP="00332F98">
      <w:pPr>
        <w:numPr>
          <w:ilvl w:val="0"/>
          <w:numId w:val="1"/>
        </w:numPr>
        <w:shd w:val="clear" w:color="auto" w:fill="E6EFF6"/>
        <w:spacing w:before="100" w:beforeAutospacing="1" w:after="100" w:afterAutospacing="1" w:line="240" w:lineRule="auto"/>
        <w:ind w:left="0"/>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смотровой кабинет (действительно в течении года)</w:t>
      </w:r>
    </w:p>
    <w:p w:rsidR="00332F98" w:rsidRPr="00332F98" w:rsidRDefault="00332F98" w:rsidP="00332F98">
      <w:pPr>
        <w:numPr>
          <w:ilvl w:val="0"/>
          <w:numId w:val="1"/>
        </w:numPr>
        <w:shd w:val="clear" w:color="auto" w:fill="E6EFF6"/>
        <w:spacing w:before="100" w:beforeAutospacing="1" w:after="100" w:afterAutospacing="1" w:line="240" w:lineRule="auto"/>
        <w:ind w:left="0"/>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ФГП (действительно до 1 года). Для легочных больных и декомпенсированных ХСН рентген легких дейсвителен до 1 месяца.</w:t>
      </w:r>
    </w:p>
    <w:p w:rsidR="00332F98" w:rsidRPr="00332F98" w:rsidRDefault="00332F98" w:rsidP="00332F98">
      <w:pPr>
        <w:numPr>
          <w:ilvl w:val="0"/>
          <w:numId w:val="1"/>
        </w:numPr>
        <w:shd w:val="clear" w:color="auto" w:fill="E6EFF6"/>
        <w:spacing w:before="100" w:beforeAutospacing="1" w:after="100" w:afterAutospacing="1" w:line="240" w:lineRule="auto"/>
        <w:ind w:left="0"/>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предеметы личной гигиены (зубная паста, мыло, туалетная бумага, ложка, чашка, полотенце)</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При наличии вышеуказанных документов пациентам необходимо обратиться в приемный покой.</w:t>
      </w:r>
    </w:p>
    <w:p w:rsidR="00332F98" w:rsidRPr="00332F98" w:rsidRDefault="00332F98" w:rsidP="00332F98">
      <w:pPr>
        <w:shd w:val="clear" w:color="auto" w:fill="E6EFF6"/>
        <w:spacing w:after="0" w:line="240" w:lineRule="auto"/>
        <w:jc w:val="center"/>
        <w:rPr>
          <w:rFonts w:ascii="Arial" w:eastAsia="Times New Roman" w:hAnsi="Arial" w:cs="Arial"/>
          <w:color w:val="222222"/>
          <w:sz w:val="21"/>
          <w:szCs w:val="21"/>
          <w:lang w:eastAsia="ru-RU"/>
        </w:rPr>
      </w:pPr>
      <w:r w:rsidRPr="00332F98">
        <w:rPr>
          <w:rFonts w:ascii="Arial" w:eastAsia="Times New Roman" w:hAnsi="Arial" w:cs="Arial"/>
          <w:b/>
          <w:bCs/>
          <w:color w:val="222222"/>
          <w:sz w:val="21"/>
          <w:szCs w:val="21"/>
          <w:lang w:eastAsia="ru-RU"/>
        </w:rPr>
        <w:t>ПРАВИЛА ВНУТРЕННЕГО РАСПОРЯДКА  ДЛЯ ПАЦИЕНТОВ</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Настоящие Правила внутреннего распорядка определяют внутренний распорядок в Государственном учреждении здравоохранения «Тульская областная клиническая больница №2 им. Л.Н.Толстого», режим работы, порядок обращения пациентов, порядок оформления медицинских документов, права и обязанности пациентов.</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Общие положения 1.</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Правила внутреннего распорядка больницы для пациентов (далее по тексту — Правила) являются организационно-правовым документом, регламентирующим в соответствии с законодательством Российской Федерации в сфере здравоохранения, поведение пациента в организации здравоохранения (далее — больница), а также иные вопросы, возникающие между участниками правоотношений — пациентом (его представителем) и больницей.</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2. 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организации, распоряжениями руководителей структурных подразделений больницы и иными локальными нормативными актами.</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3. Настоящие Правила обязательны для персонала и пациентов, а также иных лиц, обратившихся в организацию или ее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4. ГУЗ «Тульская областная клиническая больница №2 им. Л.Н.Толстого» оказывает амбулаторно-поликлиническую помощь взрослому населению по участково-территориальному принципу, а так также плановую стационарную помощь. Амбулаторно-поликлиническая помощь включает в себя первичную, в том числе доврачебную, врачебную и специализированную медико-санитарную помощь.</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5. Лечащий врач по согласованию с главным врачом может отказаться от наблюдения и лечения пациента, если это не угрожает жизни самого пациента, в случаях несоблюдения пациентом врачебных предписаний, или настоящих Правил. Так же пациент имеет право на выбор врача и медицинской организации, отказ от медицинского вмешательства в соответствии с ФЗ № 323 от 21.11.11 « Об основах охраны здоровья граждан в Российской Федерации».</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6. Медицинские услуги оказываются в ГУЗ «Тульская областная клиническая больница №2 им. Л.Н.Толстого» на бесплатной, так и на платной основе.</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7. В помещениях больницы и ее структурных подразделениях запрещается:</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хождение в верхней одежде;</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ведение громких разговоров, шуметь;</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курение на территории, в зданиях и помещениях;</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распитие спиртных напитков;</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употребление наркотических средств, психотропных и токсических веществ;</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lastRenderedPageBreak/>
        <w:t>8. При обращении за медицинской помощью в больницу и ее структурные подразделения пациент обязан:</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соблюдать режим работы организации;</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правила поведения в общественных местах;</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требования пожарной безопасности;</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санитарно-противоэпидемиологический режим;</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установленный в учреждении регламент работы персонала,</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выполнять предписания лечащего врача;</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соблюдать рекомендуемую врачом диету;</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сотрудничать с лечащим врачом на всех этапах оказания медицинской помощи; оформлять в установленном порядке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уважительно относиться к медицинскому персоналу, проявлять доброжелательное и вежливое отношение к другим пациентам;</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 бережно относиться к имуществу организации;</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при обнаружении источников пожара, иных источников, угрожающих общественной безопасности, пациент должен немедленно сообщить об этом дежурному персоналу.</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9. В порядке, установленном законодательством Российской Федерации, застрахованным пациентам на случай временной нетрудоспособности выдается листок нетрудоспособности. Другим категориям граждан выдаются надлежаще оформленные справки, установленной формы.</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10. 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амбулаторно-поликлиническому структурному подразделению больницы.</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11. В амбулаторно-поликлинических подразделениях пациентам оказывается первичная медико-санитарная и специализированная помощь по территориальному принципу непосредственно в учреждении или на дому.</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12. При необходимости оказания амбулаторно-поликлинической помощи пациент обращается в регистратуру амбулаторно-поликлинического структурного подразделения, обеспечивающую регистрацию больных на прием к врачу или регистрацию вызова врача на дом.. При первичном обращении, в регистратуре на пациента заводится медицинская карта амбулаторного больного.</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13. Запись пациента на амбулаторный приём к врачу осуществляется в регистратуре, в порядке очерёдности, при наличии документа, удостоверяющего личность, и страхового медицинского полиса, а так же:</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через информационный терминал, расположенные по адресам: г.Тула, ул. Демьянова, д.22, дер.Ясная Поляна, ул.Больничная, д.14</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по телефонам учреждения </w:t>
      </w:r>
      <w:r w:rsidRPr="00332F98">
        <w:rPr>
          <w:rFonts w:ascii="Arial" w:eastAsia="Times New Roman" w:hAnsi="Arial" w:cs="Arial"/>
          <w:b/>
          <w:bCs/>
          <w:color w:val="222222"/>
          <w:sz w:val="21"/>
          <w:szCs w:val="21"/>
          <w:lang w:eastAsia="ru-RU"/>
        </w:rPr>
        <w:t>+7 (48751) 76-5-67,</w:t>
      </w:r>
      <w:r w:rsidRPr="00332F98">
        <w:rPr>
          <w:rFonts w:ascii="Arial" w:eastAsia="Times New Roman" w:hAnsi="Arial" w:cs="Arial"/>
          <w:color w:val="222222"/>
          <w:sz w:val="21"/>
          <w:szCs w:val="21"/>
          <w:lang w:eastAsia="ru-RU"/>
        </w:rPr>
        <w:t> </w:t>
      </w:r>
      <w:r w:rsidRPr="00332F98">
        <w:rPr>
          <w:rFonts w:ascii="Arial" w:eastAsia="Times New Roman" w:hAnsi="Arial" w:cs="Arial"/>
          <w:b/>
          <w:bCs/>
          <w:color w:val="222222"/>
          <w:sz w:val="21"/>
          <w:szCs w:val="21"/>
          <w:lang w:eastAsia="ru-RU"/>
        </w:rPr>
        <w:t>+7 (4872) 37-58-73, +7 (4872) 37-56-45</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через контактный центр 8-800-450-33-03</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на сайте </w:t>
      </w:r>
      <w:hyperlink r:id="rId5" w:history="1">
        <w:r w:rsidRPr="00332F98">
          <w:rPr>
            <w:rFonts w:ascii="Arial" w:eastAsia="Times New Roman" w:hAnsi="Arial" w:cs="Arial"/>
            <w:color w:val="4C947F"/>
            <w:sz w:val="21"/>
            <w:szCs w:val="21"/>
            <w:u w:val="single"/>
            <w:lang w:eastAsia="ru-RU"/>
          </w:rPr>
          <w:t>www.doctor71.ru</w:t>
        </w:r>
      </w:hyperlink>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приём вызовов врачей на дом осуществляется по вышеперечисленным телефонам Во всех случаях записи на приём, при первом посещении врача пациент обязан предъявить в регистратуре страховой медицинский полис, паспорт, СНИЛС</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14. Вне очереди обслуживаются Герои Советского Союза, кавалеры трех орденов Славы, инвалиды и участники Великой Отечественной войны, лица к ним приравненные, Почетные доноры России и СССР, ликвидаторы последствий ЧАЭС.</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15. Информацию о времени приема врачей всех специальностей с указанием часов приема и номеров кабинетов, о правилах вызова врача на дом, о порядке предварительной записи на прием к врачам, о времени и месте приема населения главным врачом больницы и его заместителем, адреса структурных подразделений больницы пациент может получить в регистратуре в устной форме и наглядно — на информационном табло, расположенном в помещениях амбулаторно-поликлинического структурного подразделения.</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16.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 номера очереди, номера кабинета и времени явки к врачу.</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17. Приём врачей всех специальностей осуществляется по графику, составляемому заведующим подразделением и утверждаемому главным врачом.</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lastRenderedPageBreak/>
        <w:t>18. Режим работы рентгенологических, физиотерапевтических, процедурных кабинетов определяется в соответствии с технологическими требованиями к методике обследования и реабилитации.</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19. Медицинская помощь на дому осуществляется:</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при острых внезапных ухудшениях состояния здоровья;</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необходимости строгого домашнего режима;</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при тяжелых хронических заболеваниях и невозможности передвижения пациента.</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Лечащий врач оказывает медицинскую помощь на дому в день поступления вызова. Консультации на дому врачами-специалистами осуществляются в том же порядке. Объём медицинской помощи на дому определяется врачом.</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20. При амбулаторном лечении (обследовании) пациент, обязан: являться на прием к врачу в назначенные дни и часы; соблюдать лечебно-охранительный режим, предписанный лечащим врачом. Неявка на приём в назначенный день считается нарушением поликлинического режима.</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21. Запись к врачам-специалистам, анализы и обследования осуществляется только через терапевтов при личном обращении в поликлинику.</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22. Направление на госпитализацию пациентов, нуждающихся в плановом стационарном лечении, осуществляется лечащим врачом после предварительного обследования пациента.</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23.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медицинской карты амбулаторного больного.</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24. Пациенты по неотложным показаниям могут быть приняты без предъявления документов.</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25. В стационар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 в плановом порядке.</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26. Прием пациентов, поступающих в стационар, осуществляется в приемном отделении. При поступлении в стационар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амбулаторной карты. На госпитализируемых больных заводится соответствующая медицинская документация. Пациент сопровождается медицинским персоналом в стационар.</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27. В случае отказа от госпитализации в журнале отказов от госпитализации делается запись о причинах отказа.</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28. При стационарном лечении пациент может пользоваться личным бельем, одеждой и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санитарно-эпидемиологическому режиму. Посещение пациентов, находящихся на строгом постельном режиме, допускается при условии наличия сменной обуви, халата и пропуска, оформленного лечащим (дежурным) врачом. Ассортимент продуктовых передач должен соответствовать назначенной диете.</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29. 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душ, санузел); соблюдать лечебно-охранительный режим, в том числе, предписанный лечащим врачом; своевременно ставить в известность дежурный медицинский персонал об ухудшении состояния здоровья.</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30. Самовольный уход пациента из стационара расценивается как отказ от медицинской помощи с соответствующими последствиями, за которые организация ответственности не несет.</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31. Выписка пациентов производится лечащим врачом по согласованию с заведующим отделением стационара. Ответственность</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32. Нарушение Правил внутреннего распорядка, лечебно-охранительного, санитарно-противоэпидемиологического режимов и санитарно-гигиенических норм влечет за собой:</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досрочную выписку из стационара;</w:t>
      </w:r>
    </w:p>
    <w:p w:rsidR="00332F98" w:rsidRPr="00332F98" w:rsidRDefault="00332F98" w:rsidP="00332F98">
      <w:pPr>
        <w:shd w:val="clear" w:color="auto" w:fill="E6EFF6"/>
        <w:spacing w:after="0" w:line="240" w:lineRule="auto"/>
        <w:rPr>
          <w:rFonts w:ascii="Arial" w:eastAsia="Times New Roman" w:hAnsi="Arial" w:cs="Arial"/>
          <w:color w:val="222222"/>
          <w:sz w:val="21"/>
          <w:szCs w:val="21"/>
          <w:lang w:eastAsia="ru-RU"/>
        </w:rPr>
      </w:pPr>
      <w:r w:rsidRPr="00332F98">
        <w:rPr>
          <w:rFonts w:ascii="Arial" w:eastAsia="Times New Roman" w:hAnsi="Arial" w:cs="Arial"/>
          <w:color w:val="222222"/>
          <w:sz w:val="21"/>
          <w:szCs w:val="21"/>
          <w:lang w:eastAsia="ru-RU"/>
        </w:rPr>
        <w:t> • отметка в листке нетрудоспособности о нарушении режима</w:t>
      </w:r>
    </w:p>
    <w:p w:rsidR="004A3D96" w:rsidRDefault="004A3D96">
      <w:bookmarkStart w:id="0" w:name="_GoBack"/>
      <w:bookmarkEnd w:id="0"/>
    </w:p>
    <w:sectPr w:rsidR="004A3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832F8"/>
    <w:multiLevelType w:val="multilevel"/>
    <w:tmpl w:val="104A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FA"/>
    <w:rsid w:val="00332F98"/>
    <w:rsid w:val="004A3D96"/>
    <w:rsid w:val="007C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B72D8-94F4-449E-AA12-C1D40A94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F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2F98"/>
    <w:rPr>
      <w:b/>
      <w:bCs/>
    </w:rPr>
  </w:style>
  <w:style w:type="character" w:styleId="a5">
    <w:name w:val="Hyperlink"/>
    <w:basedOn w:val="a0"/>
    <w:uiPriority w:val="99"/>
    <w:semiHidden/>
    <w:unhideWhenUsed/>
    <w:rsid w:val="00332F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5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ctor7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1619</Words>
  <Characters>9232</Characters>
  <Application>Microsoft Office Word</Application>
  <DocSecurity>0</DocSecurity>
  <Lines>76</Lines>
  <Paragraphs>21</Paragraphs>
  <ScaleCrop>false</ScaleCrop>
  <Company>SPecialiST RePack</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2019-10-11T21:47:00Z</dcterms:created>
  <dcterms:modified xsi:type="dcterms:W3CDTF">2019-10-11T21:47:00Z</dcterms:modified>
</cp:coreProperties>
</file>