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F192" w14:textId="77777777" w:rsidR="00467E23" w:rsidRPr="00467E23" w:rsidRDefault="00467E23" w:rsidP="00467E23">
      <w:pPr>
        <w:shd w:val="clear" w:color="auto" w:fill="FFFFFF"/>
        <w:spacing w:after="0" w:line="420" w:lineRule="atLeast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Руководитель лаборатории: д.м.н., профессор Гонтарь Илья Петрович</w:t>
      </w:r>
    </w:p>
    <w:p w14:paraId="583E2988" w14:textId="77777777" w:rsidR="00467E23" w:rsidRPr="00467E23" w:rsidRDefault="00467E23" w:rsidP="00467E23">
      <w:pPr>
        <w:shd w:val="clear" w:color="auto" w:fill="FFFFFF"/>
        <w:spacing w:after="0" w:line="338" w:lineRule="atLeast"/>
        <w:ind w:firstLine="360"/>
        <w:jc w:val="both"/>
        <w:outlineLvl w:val="1"/>
        <w:rPr>
          <w:rFonts w:ascii="Tahoma" w:eastAsia="Times New Roman" w:hAnsi="Tahoma" w:cs="Tahoma"/>
          <w:color w:val="416B20"/>
          <w:sz w:val="23"/>
          <w:szCs w:val="23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Сотрудники лаборатории:</w:t>
      </w:r>
    </w:p>
    <w:p w14:paraId="63CC28C9" w14:textId="77777777" w:rsidR="00467E23" w:rsidRPr="00467E23" w:rsidRDefault="00467E23" w:rsidP="00467E23">
      <w:pPr>
        <w:shd w:val="clear" w:color="auto" w:fill="FFFFFF"/>
        <w:spacing w:before="100" w:beforeAutospacing="1" w:after="100" w:afterAutospacing="1" w:line="420" w:lineRule="atLeast"/>
        <w:ind w:firstLine="360"/>
        <w:jc w:val="both"/>
        <w:outlineLvl w:val="1"/>
        <w:rPr>
          <w:rFonts w:ascii="Tahoma" w:eastAsia="Times New Roman" w:hAnsi="Tahoma" w:cs="Tahoma"/>
          <w:color w:val="416B20"/>
          <w:sz w:val="23"/>
          <w:szCs w:val="23"/>
          <w:lang w:eastAsia="ru-RU"/>
        </w:rPr>
      </w:pPr>
      <w:r w:rsidRPr="00467E23">
        <w:rPr>
          <w:rFonts w:ascii="Tahoma" w:eastAsia="Times New Roman" w:hAnsi="Tahoma" w:cs="Tahoma"/>
          <w:color w:val="416B20"/>
          <w:sz w:val="20"/>
          <w:szCs w:val="20"/>
          <w:lang w:eastAsia="ru-RU"/>
        </w:rPr>
        <w:t>Ведущий научный сотрудник, к.м.н. Маслакова Лариса Александровна</w:t>
      </w:r>
    </w:p>
    <w:p w14:paraId="2A4593D1" w14:textId="77777777" w:rsidR="00467E23" w:rsidRPr="00467E23" w:rsidRDefault="00467E23" w:rsidP="00467E23">
      <w:pPr>
        <w:shd w:val="clear" w:color="auto" w:fill="FFFFFF"/>
        <w:spacing w:before="100" w:beforeAutospacing="1" w:after="100" w:afterAutospacing="1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Ведущий научный сотрудник, к.м.н. Емельянова Ольга Ивановна</w:t>
      </w:r>
    </w:p>
    <w:p w14:paraId="4A4488E0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Ведущий научный сотрудник, к.м.н. Трофименко Андрей Степанович</w:t>
      </w:r>
    </w:p>
    <w:p w14:paraId="4243CBF2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Младший научный сотрудник Ненашева Наталья Васильевна</w:t>
      </w:r>
    </w:p>
    <w:p w14:paraId="3DF3E333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Лаборант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Леванова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Елена Павловна</w:t>
      </w:r>
    </w:p>
    <w:p w14:paraId="505FDEAA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Лаборант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Морозюк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Наталья Геннадьевна</w:t>
      </w:r>
    </w:p>
    <w:p w14:paraId="08EDF002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Препаратор Новикова Мария Михайловна</w:t>
      </w:r>
    </w:p>
    <w:p w14:paraId="2B1D44CF" w14:textId="77777777" w:rsidR="00467E23" w:rsidRPr="00467E23" w:rsidRDefault="00467E23" w:rsidP="00467E23">
      <w:pPr>
        <w:shd w:val="clear" w:color="auto" w:fill="FFFFFF"/>
        <w:spacing w:before="100" w:beforeAutospacing="1" w:after="100" w:afterAutospacing="1" w:line="420" w:lineRule="atLeast"/>
        <w:ind w:firstLine="36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Tahoma" w:eastAsia="Times New Roman" w:hAnsi="Tahoma" w:cs="Tahoma"/>
          <w:color w:val="416B20"/>
          <w:sz w:val="20"/>
          <w:szCs w:val="20"/>
          <w:lang w:eastAsia="ru-RU"/>
        </w:rPr>
        <w:t> </w:t>
      </w: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Основное направление работы лаборатории в настоящее время – технология синтеза магнитоуправляемых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иммобилизированных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наноформ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(МИН), содержащих молекулы различных биологически активных веществ (нуклеиновых кислот, липидов, белков, в том числе энзимов), а также использование данных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наноформ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для иммунодиагностики и лечения ревматических заболеваний. В частности, усовершенствованные при помощи МИН методы иммуноферментного и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иммунофлюоресцентного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анализа отличаются значительно более высокой аналитической чувствительностью по сравнению с традиционными протоколами, простотой манипуляций при помощи электромагнитов и, помимо вышеперечисленного, позволяют существенно снизить стоимость анализа за счет многократного использования регенерированного препарата. Большие перспективы открываются при использовании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наноформ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в рамках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цитометрических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методик и ПЦР. Перфузия растворов, содержащих смесь веществ, через МИН позволяет высокоизбирательно выделять различные субстанции, являясь технологически более совершенным аналогом колоночной аффинной хроматографии.</w:t>
      </w:r>
    </w:p>
    <w:p w14:paraId="1CE58900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54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Исследование МИН в нашей лаборатории включает в себя и различные аспекты внедрения данной технологии в практику. Доминирующее направление работ включает разработку и усовершенствование методов ранней лабораторной диагностики и лабораторного контроля эффективности лечения аутоиммунных ревматических заболеваний в поликлинических, стационарных и санаторно-курортных условиях. Доказано, что использование МИН, содержащих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нативную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ДНК, коллаген различных типов,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кардиолипин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,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фибронектин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, эластин, ферменты катаболизма ДНК и белков, компоненты антиоксидантной системы в качестве антигена для иммуноферментного и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иммунофлюоресцентного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анализа, позволяет значительно повысить клинико-</w:t>
      </w: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lastRenderedPageBreak/>
        <w:t>диагностическую значимость модифицированных тестов при ревматоидном артрите, ювенильном ревматоидном артрите, системной красной волчанке, системной склеродермии.</w:t>
      </w:r>
    </w:p>
    <w:p w14:paraId="2CC589A3" w14:textId="77777777" w:rsidR="00467E23" w:rsidRPr="00467E23" w:rsidRDefault="00467E23" w:rsidP="00467E23">
      <w:pPr>
        <w:shd w:val="clear" w:color="auto" w:fill="FFFFFF"/>
        <w:spacing w:after="0" w:line="420" w:lineRule="atLeast"/>
        <w:ind w:firstLine="540"/>
        <w:jc w:val="both"/>
        <w:outlineLvl w:val="1"/>
        <w:rPr>
          <w:rFonts w:ascii="AcademyC" w:eastAsia="Times New Roman" w:hAnsi="AcademyC" w:cs="Tahoma"/>
          <w:color w:val="416B20"/>
          <w:sz w:val="28"/>
          <w:szCs w:val="28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Терапевтический аспект применения МИН в рамках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иммуносорбционных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методик для снижения содержания широкого спектра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патогенетически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важных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аутоантител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, антигенов и циркулирующих иммунных комплексов к настоящему времени обоснован в рамках нескольких доклинических исследований на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лабораторны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 xml:space="preserve"> животных. Кроме того, целый цикл работ нашей лаборатории был посвящен изучению клеточного и гуморального иммунитета к очищенным белкам сердечной и скелетной мышц (актин, миозин, </w:t>
      </w:r>
      <w:proofErr w:type="spellStart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тропомиозин</w:t>
      </w:r>
      <w:proofErr w:type="spellEnd"/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) при ревматических заболеваниях.</w:t>
      </w:r>
    </w:p>
    <w:p w14:paraId="313DF461" w14:textId="77777777" w:rsidR="00467E23" w:rsidRPr="00467E23" w:rsidRDefault="00467E23" w:rsidP="00467E23">
      <w:pPr>
        <w:shd w:val="clear" w:color="auto" w:fill="FFFFFF"/>
        <w:spacing w:after="0" w:line="338" w:lineRule="atLeast"/>
        <w:ind w:firstLine="540"/>
        <w:jc w:val="both"/>
        <w:outlineLvl w:val="1"/>
        <w:rPr>
          <w:rFonts w:ascii="Tahoma" w:eastAsia="Times New Roman" w:hAnsi="Tahoma" w:cs="Tahoma"/>
          <w:color w:val="416B20"/>
          <w:sz w:val="23"/>
          <w:szCs w:val="23"/>
          <w:lang w:eastAsia="ru-RU"/>
        </w:rPr>
      </w:pPr>
      <w:r w:rsidRPr="00467E23">
        <w:rPr>
          <w:rFonts w:ascii="AcademyC" w:eastAsia="Times New Roman" w:hAnsi="AcademyC" w:cs="Tahoma"/>
          <w:color w:val="416B20"/>
          <w:sz w:val="20"/>
          <w:szCs w:val="20"/>
          <w:lang w:eastAsia="ru-RU"/>
        </w:rPr>
        <w:t>По разрабатываемым тематикам получено 11 авторских свидетельств и патентов, защищено 3 докторских диссертации и более 30 кандидатских диссертаций. Внедрено в клиническую практику более 50 методов исследования, опубликовано более 400 научных работ. Дальнейшее выполнение темы одобрено на заседаниях ОКМ РАМН и Президиума РАМН. В 2006 г сотрудникам лаборатории была присуждена премия Волгоградской области в сфере науки и техники за разработку и внедрение технологии МИН в ревматологии.</w:t>
      </w:r>
    </w:p>
    <w:p w14:paraId="2C20D58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E"/>
    <w:rsid w:val="00467E23"/>
    <w:rsid w:val="007914E2"/>
    <w:rsid w:val="00AC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F9E08-EB3F-44E3-AE66-0BA763F2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7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7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2019-07-26T04:10:00Z</dcterms:created>
  <dcterms:modified xsi:type="dcterms:W3CDTF">2019-07-26T04:11:00Z</dcterms:modified>
</cp:coreProperties>
</file>