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287" w:rsidRPr="000C7287" w:rsidRDefault="000C7287" w:rsidP="000C72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b/>
          <w:bCs/>
          <w:i/>
          <w:iCs/>
          <w:color w:val="6A4E31"/>
          <w:sz w:val="20"/>
          <w:szCs w:val="20"/>
          <w:lang w:eastAsia="ru-RU"/>
        </w:rPr>
        <w:t>1. Терапевтическое отделение: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Пневмония среднего или тяжелого течения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Острый бронхит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хронического бронхита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ХОБЛ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Бронхиальная астма средней или тяжелой степени течения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язвенной болезни желудка и 12 перстной кишки, средней или тяжелой степени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хронического холецистита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Хроническая печеночная недостаточность, стадия декомпенсации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хронического пиелонефрита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Хроническая почечная недостаточность, стадия декомпенсации (вне гемодиализа)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Сахарный диабет, стадия декомпенсации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Обострение ревматоидного полиартрита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Железодефицитная анемия средней или тяжелой степени</w:t>
      </w:r>
    </w:p>
    <w:p w:rsidR="000C7287" w:rsidRPr="000C7287" w:rsidRDefault="000C7287" w:rsidP="000C72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В12 дефицитная анемия средней или тяжелой степени</w:t>
      </w:r>
    </w:p>
    <w:p w:rsidR="000C7287" w:rsidRPr="000C7287" w:rsidRDefault="000C7287" w:rsidP="000C72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b/>
          <w:bCs/>
          <w:i/>
          <w:iCs/>
          <w:color w:val="6A4E31"/>
          <w:sz w:val="20"/>
          <w:szCs w:val="20"/>
          <w:lang w:eastAsia="ru-RU"/>
        </w:rPr>
        <w:t>2. В кардиологическое отделение: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Пароксизмальные нарушения сердечного ритма и проводимости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Нестабильная стенокардия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Хроническая сердечная недостаточность, стадия декомпенсации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Гипертонический криз, сопровождающийся признаками сердечно-сосудистой недостаточности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Тромбоэмболия легочной артерии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Острые миокардиты, перикардиты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Хроническая ревматическая болезнь сердца, активная фаза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Инфекционный (бактериальный) эндокардит</w:t>
      </w:r>
    </w:p>
    <w:p w:rsidR="000C7287" w:rsidRPr="000C7287" w:rsidRDefault="000C7287" w:rsidP="000C72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 xml:space="preserve">Артериальная гипертензия </w:t>
      </w:r>
      <w:proofErr w:type="spellStart"/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труднокорригируемая</w:t>
      </w:r>
      <w:proofErr w:type="spellEnd"/>
    </w:p>
    <w:p w:rsidR="000C7287" w:rsidRPr="000C7287" w:rsidRDefault="000C7287" w:rsidP="000C72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b/>
          <w:bCs/>
          <w:i/>
          <w:iCs/>
          <w:color w:val="6A4E31"/>
          <w:sz w:val="20"/>
          <w:szCs w:val="20"/>
          <w:lang w:eastAsia="ru-RU"/>
        </w:rPr>
        <w:t>3. В неврологическое отделение: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Острое нарушение мозгового кровообращения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Транзиторная ишемическая атака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Острая гипертоническая энцефалопатия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Выраженный болевой синдром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Судорожный синдром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Вегетативные кризы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Выраженное головокружение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Поражение периферической нервной системы</w:t>
      </w:r>
    </w:p>
    <w:p w:rsidR="000C7287" w:rsidRPr="000C7287" w:rsidRDefault="000C7287" w:rsidP="000C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A4E31"/>
          <w:sz w:val="20"/>
          <w:szCs w:val="20"/>
          <w:lang w:eastAsia="ru-RU"/>
        </w:rPr>
      </w:pPr>
      <w:proofErr w:type="spellStart"/>
      <w:r w:rsidRPr="000C7287">
        <w:rPr>
          <w:rFonts w:ascii="Arial" w:eastAsia="Times New Roman" w:hAnsi="Arial" w:cs="Arial"/>
          <w:color w:val="6A4E31"/>
          <w:sz w:val="20"/>
          <w:szCs w:val="20"/>
          <w:lang w:eastAsia="ru-RU"/>
        </w:rPr>
        <w:t>Полинейропатии</w:t>
      </w:r>
      <w:proofErr w:type="spellEnd"/>
    </w:p>
    <w:p w:rsidR="00A31AFF" w:rsidRDefault="00A31AFF">
      <w:bookmarkStart w:id="0" w:name="_GoBack"/>
      <w:bookmarkEnd w:id="0"/>
    </w:p>
    <w:sectPr w:rsidR="00A3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54AB6"/>
    <w:multiLevelType w:val="multilevel"/>
    <w:tmpl w:val="E1D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36995"/>
    <w:multiLevelType w:val="multilevel"/>
    <w:tmpl w:val="9254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34934"/>
    <w:multiLevelType w:val="multilevel"/>
    <w:tmpl w:val="25AA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E4"/>
    <w:rsid w:val="000C7287"/>
    <w:rsid w:val="003D25E4"/>
    <w:rsid w:val="00A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CC9D-229A-44D5-8F2E-AC002ED8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2019-09-26T07:41:00Z</dcterms:created>
  <dcterms:modified xsi:type="dcterms:W3CDTF">2019-09-26T07:42:00Z</dcterms:modified>
</cp:coreProperties>
</file>