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Перечень видов, форм и условий медицинской помощи, оказание которой осуществляется бесплатно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специализированная, в том числе высокотехнологичная, медицинская помощь;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скорая, в том числе скорая специализированная, медицинская помощь;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паллиативная медицинская помощь, оказываемая медицинскими организациями.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Понятие "медицинская организация" используется в Территориальной программе в значении, определенном в федеральных законах </w:t>
      </w:r>
      <w:hyperlink r:id="rId4" w:tgtFrame="_blank" w:tooltip="от 21 ноября 2011 года N 323-ФЗ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от 21 ноября 2011 года N 323-ФЗ</w:t>
        </w:r>
      </w:hyperlink>
      <w:r>
        <w:rPr>
          <w:rFonts w:ascii="Open Sans" w:hAnsi="Open Sans"/>
          <w:color w:val="222222"/>
          <w:sz w:val="21"/>
          <w:szCs w:val="21"/>
        </w:rPr>
        <w:t> "Об основах охраны здоровья граждан в Российской Федерации" и </w:t>
      </w:r>
      <w:hyperlink r:id="rId5" w:tgtFrame="_blank" w:tooltip="от 29 ноября 2010 года N 326-ФЗ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от 29 ноября 2010 года N 326-ФЗ</w:t>
        </w:r>
      </w:hyperlink>
      <w:r>
        <w:rPr>
          <w:rFonts w:ascii="Open Sans" w:hAnsi="Open Sans"/>
          <w:color w:val="222222"/>
          <w:sz w:val="21"/>
          <w:szCs w:val="21"/>
        </w:rPr>
        <w:t> "Об обязательном медицинском страховании в Российской Федерации".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которая содержит в том числе методы лечения и источники финансового обеспечения высокотехнологичной медицинской помощи (</w:t>
      </w:r>
      <w:hyperlink r:id="rId6" w:tgtFrame="_blank" w:tooltip="приложение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приложение</w:t>
        </w:r>
      </w:hyperlink>
      <w:r>
        <w:rPr>
          <w:rFonts w:ascii="Open Sans" w:hAnsi="Open Sans"/>
          <w:color w:val="222222"/>
          <w:sz w:val="21"/>
          <w:szCs w:val="21"/>
        </w:rPr>
        <w:t xml:space="preserve"> к постановлению </w:t>
      </w:r>
      <w:r>
        <w:rPr>
          <w:rFonts w:ascii="Open Sans" w:hAnsi="Open Sans"/>
          <w:color w:val="222222"/>
          <w:sz w:val="21"/>
          <w:szCs w:val="21"/>
        </w:rPr>
        <w:lastRenderedPageBreak/>
        <w:t>Правительства Российской Федерации от 10 декабря 2018 года N 1506 "О Программе государственных гарантий бесплатного оказания гражданам медицинской помощи на 2019 год и на плановый период 2020 и 2021 годов").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При оказании медицинской помощи может применяться санитарно-авиационная эвакуация. Порядок применения санитарно-авиационной эвакуации определяется правовым актом Комитета по здравоохранению Ленинградской области.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Медицинская помощь оказывается в следующих формах: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Медицинская помощь может оказываться в следующих условиях: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вне медицинской организации (по месту вызова бригады скорой медицинской помощи, в том числе скорой специализированной, медицинской помощи, а также в транспортном средстве при медицинской эвакуации);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стационарно (в условиях, обеспечивающих круглосуточное медицинское наблюдение и лечение).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</w:t>
      </w:r>
      <w:r>
        <w:rPr>
          <w:rFonts w:ascii="Open Sans" w:hAnsi="Open Sans"/>
          <w:color w:val="222222"/>
          <w:sz w:val="21"/>
          <w:szCs w:val="21"/>
        </w:rPr>
        <w:lastRenderedPageBreak/>
        <w:t>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 Правительством Российской Федерации </w:t>
      </w:r>
      <w:hyperlink r:id="rId7" w:tgtFrame="_blank" w:tooltip="перечень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перечень</w:t>
        </w:r>
      </w:hyperlink>
      <w:r>
        <w:rPr>
          <w:rFonts w:ascii="Open Sans" w:hAnsi="Open Sans"/>
          <w:color w:val="222222"/>
          <w:sz w:val="21"/>
          <w:szCs w:val="21"/>
        </w:rPr>
        <w:t> медицинских изделий, имплантируемых в организм человека.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 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Гражданин имеет право на бесплатное получение медицинской помощи по видам, формам и условиям ее оказания в соответствии с </w:t>
      </w:r>
      <w:hyperlink r:id="rId8" w:anchor="sub_1002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разделом II</w:t>
        </w:r>
      </w:hyperlink>
      <w:r>
        <w:rPr>
          <w:rFonts w:ascii="Open Sans" w:hAnsi="Open Sans"/>
          <w:color w:val="222222"/>
          <w:sz w:val="21"/>
          <w:szCs w:val="21"/>
        </w:rPr>
        <w:t> Территориальной программы при следующих заболеваниях и состояниях: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инфекционные и паразитарные болезни;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новообразования;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эндокринной системы;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расстройства питания и нарушения обмена веществ;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нервной системы;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крови, кроветворных органов;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отдельные нарушения, вовлекающие иммунный механизм;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глаза и его придаточного аппарата;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уха и сосцевидного отростка;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системы кровообращения;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органов дыхания;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мочеполовой системы;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кожи и подкожной клетчатки;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болезни костно-мышечной системы и соединительной ткани;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травмы, отравления и некоторые другие последствия воздействия внешних причин;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врожденные аномалии (пороки развития);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деформации и хромосомные нарушения;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беременность, роды, послеродовой период и аборты; отдельные состояния, возникающие у детей в перинатальный период;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психические расстройства и расстройства поведения;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симптомы, признаки и отклонения от нормы, не отнесенные к заболеваниям и состояниям.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Гражданин имеет право на бесплатный профилактический медицинский осмотр не реже одного раза в год.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lastRenderedPageBreak/>
        <w:t>В соответствии с законодательством Российской Федерации отдельные категории граждан имеют право на: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обеспечение лекарственными препаратами (в соответствии с </w:t>
      </w:r>
      <w:hyperlink r:id="rId9" w:anchor="sub_1004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разделом V</w:t>
        </w:r>
      </w:hyperlink>
      <w:r>
        <w:rPr>
          <w:rFonts w:ascii="Open Sans" w:hAnsi="Open Sans"/>
          <w:color w:val="222222"/>
          <w:sz w:val="21"/>
          <w:szCs w:val="21"/>
        </w:rPr>
        <w:t> Территориальной программы);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пренатальную (дородовую) диагностику нарушений развития ребенка - беременные женщины;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неонатальный скрининг на пять наследственных и врожденных заболеваний - новорожденные дети;</w:t>
      </w:r>
    </w:p>
    <w:p w:rsidR="00DD73D6" w:rsidRDefault="00DD73D6" w:rsidP="00DD73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аудиологический скрининг - новорожденные дети и дети первого года жизни.</w:t>
      </w:r>
    </w:p>
    <w:p w:rsidR="00AE29E4" w:rsidRPr="00DD73D6" w:rsidRDefault="00AE29E4" w:rsidP="00DD73D6">
      <w:bookmarkStart w:id="0" w:name="_GoBack"/>
      <w:bookmarkEnd w:id="0"/>
    </w:p>
    <w:sectPr w:rsidR="00AE29E4" w:rsidRPr="00DD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654379"/>
    <w:rsid w:val="00AE29E4"/>
    <w:rsid w:val="00D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9F4B-72A9-409F-BC16-A4480ACE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3D6"/>
    <w:rPr>
      <w:b/>
      <w:bCs/>
    </w:rPr>
  </w:style>
  <w:style w:type="character" w:styleId="a5">
    <w:name w:val="Hyperlink"/>
    <w:basedOn w:val="a0"/>
    <w:uiPriority w:val="99"/>
    <w:semiHidden/>
    <w:unhideWhenUsed/>
    <w:rsid w:val="00DD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sovocrb.ru/poryadok-i-uslovia-o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2043892&amp;sub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2023058&amp;sub=1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12080688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?id=12091967&amp;sub=0" TargetMode="External"/><Relationship Id="rId9" Type="http://schemas.openxmlformats.org/officeDocument/2006/relationships/hyperlink" Target="http://volosovocrb.ru/poryadok-i-uslovia-o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9371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2019-07-30T06:20:00Z</dcterms:created>
  <dcterms:modified xsi:type="dcterms:W3CDTF">2019-07-30T06:20:00Z</dcterms:modified>
</cp:coreProperties>
</file>