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Ортодонтия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Прием (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осмотр,консультация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)врача-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ортодонта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первичный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Прием (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осмотр,консультация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)врача-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ортодонта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повторный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350.00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Прием (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осмотр,консультация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) с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ретенционным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Прием (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осмотр,консультация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) после снятия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Исследования на диагностических моделях челюстей (снятие слепка силиконовой массой с одной челюсти)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Исследования на диагностических моделях </w:t>
      </w:r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челюстей( снятие</w:t>
      </w:r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слепка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альгинатной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массой с одной челюсти)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Исследования на диагностических моделях челюстей (отливка модели врачом)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(изготовление 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Set-up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 1 модели при планировании лечения)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(расчет диагностических моделей)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(диагностика детям до 10 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лет,расчет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и анализ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ОПТГ,измерение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и расчет КДМ, оценка костного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возраста,составление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плана лечения)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(диагностика старше 10 лет и 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взрослым,расчет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и анализ ОПТГ, расчет и анализ ТРГ ,измерение и расчет КДМ, оценка костного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возраста,составление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плана лечения)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миогимнастика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-обучение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миотерапии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с контролем 1 сеанс)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аппаратом (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Одночелюстной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аппарат. Профилактический протез)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(изготовление)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lastRenderedPageBreak/>
        <w:t>11000.00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(припасовка)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(активация 1 раз в месяц в течение 10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аппаратом (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двухчелюстной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(изготовление)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(припасовка)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(активация 1 раз в месяц в течение 10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аппаратом (аппарат 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Twin-blok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(изготовление)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(припасовка)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(активация 1 раз в месяц в течение 10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аппаратом (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трейнеры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, LM-активатор)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(изготовление)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15000.00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(припасовка)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(активация 1 раз в месяц в течение 10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ретенционный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 на одну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lastRenderedPageBreak/>
        <w:t>5500.00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(каппа разобщающая-релаксационная в/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ч,н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/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ч,Мичиганская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-в/ч)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17000.00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(каппа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Рейтнер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(каппа для отбеливания,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ремтерапии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-2 челюсти)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(каппа при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бруксизме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1-2х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слойная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11500.00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(спортивные </w:t>
      </w:r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каппы )</w:t>
      </w:r>
      <w:proofErr w:type="gramEnd"/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(использование винта)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(использование винта с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нитиноловой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пружиной)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(использование кнопки и эластической тяги)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(починка аппарата -1 </w:t>
      </w:r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элемент )</w:t>
      </w:r>
      <w:proofErr w:type="gramEnd"/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-системы (металлическая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-система)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(аппаратура)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(фиксация системы-1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(активация системы -1 раз в месяц в течение 20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lastRenderedPageBreak/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-системы (Эстетическая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-система)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(аппаратура)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(фиксация системы-1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(активация системы -1 раз в месяц в течение 20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4000.00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-системы (Комбинированная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-система 12 эстетических брекетов+12 металлических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брекетов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(аппаратура)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25000.00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(фиксация системы-1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(активация системы -1 раз в месяц в течение 20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-системы (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Самолигирующаяся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-система)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(аппаратура)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35000.00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(фиксация системы-1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(активация системы -1 раз в месяц в течение 20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4000.00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(снятие брекет-системы-1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lastRenderedPageBreak/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(фиксация несъемного ретейнера-1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-системы (повторная фиксация 1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ортодонтического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</w:t>
      </w:r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элемента )</w:t>
      </w:r>
      <w:proofErr w:type="gramEnd"/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(снятие ретейнера-1 челюсть)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-системы (Аппарат «2*4»)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(аппаратура) 1 элемент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(фиксация системы) 1 элемент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4000.00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(активация-1 раз в месяц в течение 6 месяцев)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 применением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-системы (снятие системы)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Профессиональная гигиена полости рта и зубов (снятие зубных отложений пастой-1 зуб)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Фторирование твердых тканей зубов (1 зуб)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120.00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Избирательное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пришлифовывание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твердых тканей зубов (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сеперация,пришлифовка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1 зуб)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150.00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(лицевая дуга)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7000.00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(губной бампер)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6500.00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(лицевая маска)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Квад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Хеликс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lastRenderedPageBreak/>
        <w:t>8500.00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(небный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бюгель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(заслонка для языка)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9000.00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лингвальная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дуга)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аппаратом (аппарат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Дерихсвайлера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(изготовление)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17000.00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(припасовка)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(активация -1 раз в 2 месяца)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аппаратом (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Дистализатор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(изготовление)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18000.00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(припасовка)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(активация -1 раз в 3 месяца)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4000.00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 аппаратом (Аппарат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Гербста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(изготовление)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15500.00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Ортодонтическая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коррекция несъемным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ортодонтическим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аппаратом (припасовка)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Установка 1 металлического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брекета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(при потере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брекета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2000.00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lastRenderedPageBreak/>
        <w:t xml:space="preserve">Установка 1 эстетического </w:t>
      </w:r>
      <w:proofErr w:type="spellStart"/>
      <w:proofErr w:type="gram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самолигир.брекета</w:t>
      </w:r>
      <w:proofErr w:type="spellEnd"/>
      <w:proofErr w:type="gram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 xml:space="preserve"> (при потере </w:t>
      </w:r>
      <w:proofErr w:type="spellStart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брекета</w:t>
      </w:r>
      <w:proofErr w:type="spellEnd"/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3000.00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Исправление положения 1-го зуба с использованием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Минивинтов</w:t>
      </w:r>
      <w:proofErr w:type="spellEnd"/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Аппаратура (1 элемент)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Фиксация аппаратуры (1 элемент)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Активация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Снятие (1 элемент)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 xml:space="preserve">Лечение на аппарате 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Инвизилайн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(</w:t>
      </w:r>
      <w:proofErr w:type="spellStart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Invisalign</w:t>
      </w:r>
      <w:proofErr w:type="spellEnd"/>
      <w:r w:rsidRPr="00174503">
        <w:rPr>
          <w:rFonts w:ascii="Verdana" w:eastAsia="Times New Roman" w:hAnsi="Verdana" w:cs="Arial"/>
          <w:b/>
          <w:bCs/>
          <w:color w:val="426FA3"/>
          <w:sz w:val="20"/>
          <w:szCs w:val="20"/>
          <w:lang w:eastAsia="ru-RU"/>
        </w:rPr>
        <w:t>)(каппы)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Изготовление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100000.00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Активация (средний случай) 1 раз в 10 месяцев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7000.00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Активация (сложный случай) 1 раз в 10 месяцев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13000.00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B3838"/>
          <w:sz w:val="20"/>
          <w:szCs w:val="20"/>
          <w:lang w:eastAsia="ru-RU"/>
        </w:rPr>
        <w:t>Изготовление новой каппы 1 шт.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5000.00</w:t>
      </w:r>
    </w:p>
    <w:p w:rsidR="00174503" w:rsidRPr="00174503" w:rsidRDefault="00174503" w:rsidP="00174503">
      <w:pPr>
        <w:spacing w:after="0" w:line="240" w:lineRule="auto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Установка сложного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ортодонтического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 винта</w:t>
      </w:r>
    </w:p>
    <w:p w:rsidR="00174503" w:rsidRPr="00174503" w:rsidRDefault="00174503" w:rsidP="00174503">
      <w:pPr>
        <w:spacing w:after="0" w:line="408" w:lineRule="atLeast"/>
        <w:rPr>
          <w:rFonts w:ascii="Arial" w:eastAsia="Times New Roman" w:hAnsi="Arial" w:cs="Arial"/>
          <w:color w:val="304046"/>
          <w:sz w:val="21"/>
          <w:szCs w:val="21"/>
          <w:lang w:eastAsia="ru-RU"/>
        </w:rPr>
      </w:pPr>
      <w:r w:rsidRPr="00174503">
        <w:rPr>
          <w:rFonts w:ascii="Verdana" w:eastAsia="Times New Roman" w:hAnsi="Verdana" w:cs="Arial"/>
          <w:b/>
          <w:bCs/>
          <w:color w:val="3B3838"/>
          <w:sz w:val="20"/>
          <w:szCs w:val="20"/>
          <w:lang w:eastAsia="ru-RU"/>
        </w:rPr>
        <w:t>5000.00</w:t>
      </w:r>
    </w:p>
    <w:p w:rsidR="00163527" w:rsidRDefault="00174503" w:rsidP="00174503"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Снятие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- системы, установленной в других учреждениях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7000.00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Металлическая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брекет-ситема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 активация 1 чел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1500.00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Эстетическая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-система активация 1 чел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2000.00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Комбинированная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-система активация 1чел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1750.00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Саморегулируюшаяся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брекет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 –система активация 1чел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2000.00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Фиксация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ретейнера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 1 зуб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Определение конструктивного прикуса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Конструирование аппарата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Проф.аппарат-распорка (изготовление)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6000.00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                                           Припасовка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1500.00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Одночелюстной аппарат-изготовление сложная конструкция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13000.00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Двучелюстной аппарат-изготовление сложная конструкция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22000.00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Twin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block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 аппарат-изготовление сложная конструкция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25000.00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Винт Бертоли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5000.00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Фиксация </w:t>
      </w:r>
      <w:proofErr w:type="spellStart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ретейнера</w:t>
      </w:r>
      <w:proofErr w:type="spellEnd"/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 xml:space="preserve"> (более 6-ти зубов)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7000.00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Консультация по ВНЧС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1000.00</w:t>
      </w:r>
      <w:r w:rsidRPr="00174503">
        <w:rPr>
          <w:rFonts w:ascii="Verdana" w:eastAsia="Times New Roman" w:hAnsi="Verdana" w:cs="Arial"/>
          <w:color w:val="304046"/>
          <w:sz w:val="20"/>
          <w:szCs w:val="20"/>
          <w:lang w:eastAsia="ru-RU"/>
        </w:rPr>
        <w:t>Комплексная терапия по ВНЧС</w:t>
      </w:r>
      <w:r w:rsidRPr="00174503">
        <w:rPr>
          <w:rFonts w:ascii="Verdana" w:eastAsia="Times New Roman" w:hAnsi="Verdana" w:cs="Arial"/>
          <w:b/>
          <w:bCs/>
          <w:color w:val="304046"/>
          <w:sz w:val="20"/>
          <w:szCs w:val="20"/>
          <w:lang w:eastAsia="ru-RU"/>
        </w:rPr>
        <w:t>2500.00</w:t>
      </w:r>
      <w:bookmarkStart w:id="0" w:name="_GoBack"/>
      <w:bookmarkEnd w:id="0"/>
    </w:p>
    <w:sectPr w:rsidR="0016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79"/>
    <w:rsid w:val="00094279"/>
    <w:rsid w:val="00163527"/>
    <w:rsid w:val="0017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E824D-17DC-4542-AF90-FC673CC3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4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45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2019-11-12T10:10:00Z</dcterms:created>
  <dcterms:modified xsi:type="dcterms:W3CDTF">2019-11-12T10:11:00Z</dcterms:modified>
</cp:coreProperties>
</file>