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6" w:rsidRPr="008E71F6" w:rsidRDefault="008E71F6" w:rsidP="008E71F6">
      <w:pPr>
        <w:spacing w:after="120" w:line="312" w:lineRule="atLeast"/>
        <w:outlineLvl w:val="0"/>
        <w:rPr>
          <w:rFonts w:ascii="Trebuchet MS" w:eastAsia="Times New Roman" w:hAnsi="Trebuchet MS" w:cs="Times New Roman"/>
          <w:color w:val="747474"/>
          <w:kern w:val="36"/>
          <w:sz w:val="30"/>
          <w:szCs w:val="30"/>
          <w:lang w:eastAsia="ru-RU"/>
        </w:rPr>
      </w:pPr>
      <w:r w:rsidRPr="008E71F6">
        <w:rPr>
          <w:rFonts w:ascii="Trebuchet MS" w:eastAsia="Times New Roman" w:hAnsi="Trebuchet MS" w:cs="Times New Roman"/>
          <w:color w:val="747474"/>
          <w:kern w:val="36"/>
          <w:sz w:val="30"/>
          <w:szCs w:val="30"/>
          <w:lang w:eastAsia="ru-RU"/>
        </w:rPr>
        <w:t>Зачисление на социальное обслуживание</w:t>
      </w:r>
    </w:p>
    <w:p w:rsidR="008E71F6" w:rsidRPr="008E71F6" w:rsidRDefault="008E71F6" w:rsidP="008E71F6">
      <w:pPr>
        <w:spacing w:after="120" w:line="312" w:lineRule="atLeast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Поставщик социальных услуг при зачислении получателя социальных услуг на социальное обслуживание:</w:t>
      </w:r>
    </w:p>
    <w:p w:rsidR="008E71F6" w:rsidRPr="008E71F6" w:rsidRDefault="008E71F6" w:rsidP="008E71F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знакомит получателя социальных услуг с порядком и условиями социального обслуживания, правилами внутреннего распорядка, правами и обязанностями получателей социальных услуг;</w:t>
      </w:r>
    </w:p>
    <w:p w:rsidR="008E71F6" w:rsidRPr="008E71F6" w:rsidRDefault="008E71F6" w:rsidP="008E71F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заключает с получателем социальных услуг договор в течение суток с даты представления индивидуальной программы поставщику социальных услуг;</w:t>
      </w:r>
    </w:p>
    <w:p w:rsidR="008E71F6" w:rsidRPr="008E71F6" w:rsidRDefault="008E71F6" w:rsidP="008E71F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оформляет с получателем социальных услуг информированное добровольное согласие на оказание социальных услуг и медицинское вмешательство;</w:t>
      </w:r>
    </w:p>
    <w:p w:rsidR="008E71F6" w:rsidRPr="008E71F6" w:rsidRDefault="008E71F6" w:rsidP="008E71F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письменно уведомляет государственное казенное учреждение "Центр социальной защиты населения" (далее - Центр соцзащиты населения),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программы, дате заключения и номере заключенного договора в течение двух рабочих дней с даты заключения названного договора.</w:t>
      </w:r>
    </w:p>
    <w:p w:rsidR="008E71F6" w:rsidRPr="008E71F6" w:rsidRDefault="008E71F6" w:rsidP="008E71F6">
      <w:pPr>
        <w:spacing w:after="120" w:line="312" w:lineRule="atLeast"/>
        <w:jc w:val="center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8E71F6" w:rsidRPr="008E71F6" w:rsidRDefault="008E71F6" w:rsidP="008E71F6">
      <w:pPr>
        <w:spacing w:after="120" w:line="312" w:lineRule="atLeast"/>
        <w:jc w:val="center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ПЕРЕЧЕНЬ</w:t>
      </w:r>
    </w:p>
    <w:p w:rsidR="008E71F6" w:rsidRPr="008E71F6" w:rsidRDefault="008E71F6" w:rsidP="008E71F6">
      <w:pPr>
        <w:spacing w:after="120" w:line="312" w:lineRule="atLeast"/>
        <w:jc w:val="center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документов, необходимых для предоставления социальной услуги</w:t>
      </w:r>
    </w:p>
    <w:p w:rsidR="008E71F6" w:rsidRPr="008E71F6" w:rsidRDefault="008E71F6" w:rsidP="008E71F6">
      <w:pPr>
        <w:spacing w:after="120" w:line="312" w:lineRule="atLeast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Зачисление получателя социальных услуг к поставщику социальных услуг осуществляется на основании следующих документов: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документа, удостоверяющего личность гражданина;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вида на жительство для иностранных граждан и лиц без гражданства;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удостоверение беженца (при наличии);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справки федерального учреждения медико-социальной экспертизы, подтверждающей факт установления инвалидности (при наличии);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индивидуальной программы реабилитации, выданной федеральным государственным учреждением медико-социальной экспертизы (при наличии);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справки учреждения здравоохранения об отсутствии противопоказаний к принятию на социальное обслуживание (копия);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справки (выписки из домовой книги) с места жительства о составе семьи;</w:t>
      </w:r>
    </w:p>
    <w:p w:rsidR="008E71F6" w:rsidRPr="008E71F6" w:rsidRDefault="008E71F6" w:rsidP="008E71F6">
      <w:pPr>
        <w:numPr>
          <w:ilvl w:val="0"/>
          <w:numId w:val="2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документов о доходах получателя социальных услуг и членов его семьи и принадлежащего ему (им) имущества на праве собственности, необходимые для определения среднедушевого дохода и условий оплаты социальных услуг. </w:t>
      </w:r>
    </w:p>
    <w:p w:rsidR="008E71F6" w:rsidRPr="008E71F6" w:rsidRDefault="008E71F6" w:rsidP="008E71F6">
      <w:pPr>
        <w:spacing w:after="120" w:line="312" w:lineRule="atLeast"/>
        <w:jc w:val="center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8E71F6" w:rsidRPr="008E71F6" w:rsidRDefault="008E71F6" w:rsidP="008E71F6">
      <w:pPr>
        <w:spacing w:after="120" w:line="312" w:lineRule="atLeast"/>
        <w:jc w:val="center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ПРАВА И ОБЯЗАННОСТИ</w:t>
      </w: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br/>
        <w:t>получателей социальных услуг</w:t>
      </w:r>
    </w:p>
    <w:p w:rsidR="008E71F6" w:rsidRPr="008E71F6" w:rsidRDefault="008E71F6" w:rsidP="008E71F6">
      <w:pPr>
        <w:spacing w:after="120" w:line="312" w:lineRule="atLeast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В ходе социального обслуживания получатель социальных услуг имеет право на: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уважительное и гуманное отношение;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выбор поставщика или поставщиков социальных услуг;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отказ от предоставления социальных услуг, факт отказа фиксируется под подпись получателя социальных услуг в индивидуальной программе получателя социальных услуг;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участие в составлении индивидуальной программы;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обеспечение условий пребывания, соответствующих санитарно-гигиеническим требованиям;</w:t>
      </w:r>
    </w:p>
    <w:p w:rsidR="008E71F6" w:rsidRPr="008E71F6" w:rsidRDefault="008E71F6" w:rsidP="008E71F6">
      <w:pPr>
        <w:numPr>
          <w:ilvl w:val="0"/>
          <w:numId w:val="3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8E71F6" w:rsidRPr="008E71F6" w:rsidRDefault="008E71F6" w:rsidP="008E71F6">
      <w:pPr>
        <w:spacing w:after="120" w:line="312" w:lineRule="atLeast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ru-RU"/>
        </w:rPr>
        <w:t>Получатели социальных услуг обязаны:</w:t>
      </w:r>
    </w:p>
    <w:p w:rsidR="008E71F6" w:rsidRPr="008E71F6" w:rsidRDefault="008E71F6" w:rsidP="008E71F6">
      <w:pPr>
        <w:numPr>
          <w:ilvl w:val="0"/>
          <w:numId w:val="4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E71F6" w:rsidRPr="008E71F6" w:rsidRDefault="008E71F6" w:rsidP="008E71F6">
      <w:pPr>
        <w:numPr>
          <w:ilvl w:val="0"/>
          <w:numId w:val="4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своевременно информировать об изменении обстоятельств, обусловливающих потребность в предоставлении социальных услуг;</w:t>
      </w:r>
    </w:p>
    <w:p w:rsidR="008E71F6" w:rsidRPr="008E71F6" w:rsidRDefault="008E71F6" w:rsidP="008E71F6">
      <w:pPr>
        <w:numPr>
          <w:ilvl w:val="0"/>
          <w:numId w:val="4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8E71F6" w:rsidRPr="008E71F6" w:rsidRDefault="008E71F6" w:rsidP="008E71F6">
      <w:pPr>
        <w:numPr>
          <w:ilvl w:val="0"/>
          <w:numId w:val="4"/>
        </w:numPr>
        <w:spacing w:before="100" w:beforeAutospacing="1" w:after="120" w:line="312" w:lineRule="atLeast"/>
        <w:ind w:left="0"/>
        <w:jc w:val="both"/>
        <w:rPr>
          <w:rFonts w:ascii="Trebuchet MS" w:eastAsia="Times New Roman" w:hAnsi="Trebuchet MS" w:cs="Times New Roman"/>
          <w:color w:val="1D1D1D"/>
          <w:sz w:val="21"/>
          <w:szCs w:val="21"/>
          <w:lang w:eastAsia="ru-RU"/>
        </w:rPr>
      </w:pPr>
      <w:r w:rsidRPr="008E71F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соблюдать график работы поставщика социальных услуг, правила внутреннего распорядка (бережно относится к имуществу и оборудованию, соблюдать чистоту в жилых комнатах, местах общего пользования и т.п.).</w:t>
      </w:r>
    </w:p>
    <w:p w:rsidR="008D3294" w:rsidRDefault="008D3294">
      <w:bookmarkStart w:id="0" w:name="_GoBack"/>
      <w:bookmarkEnd w:id="0"/>
    </w:p>
    <w:sectPr w:rsidR="008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6FE"/>
    <w:multiLevelType w:val="multilevel"/>
    <w:tmpl w:val="F26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D25F5"/>
    <w:multiLevelType w:val="multilevel"/>
    <w:tmpl w:val="B49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81E02"/>
    <w:multiLevelType w:val="multilevel"/>
    <w:tmpl w:val="BFB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33B8F"/>
    <w:multiLevelType w:val="multilevel"/>
    <w:tmpl w:val="206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38"/>
    <w:rsid w:val="000E1838"/>
    <w:rsid w:val="008D3294"/>
    <w:rsid w:val="008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1E70-8152-4A64-8C02-8721E1A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E71F6"/>
  </w:style>
  <w:style w:type="paragraph" w:styleId="a3">
    <w:name w:val="Normal (Web)"/>
    <w:basedOn w:val="a"/>
    <w:uiPriority w:val="99"/>
    <w:semiHidden/>
    <w:unhideWhenUsed/>
    <w:rsid w:val="008E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2019-07-31T07:58:00Z</dcterms:created>
  <dcterms:modified xsi:type="dcterms:W3CDTF">2019-07-31T07:58:00Z</dcterms:modified>
</cp:coreProperties>
</file>