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94D2" w14:textId="4436A4BC" w:rsidR="004943A6" w:rsidRDefault="004943A6" w:rsidP="004943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  <w:t>Виды мед помощи</w:t>
      </w:r>
    </w:p>
    <w:p w14:paraId="7F5AA812" w14:textId="77777777" w:rsidR="004943A6" w:rsidRDefault="004943A6" w:rsidP="004943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aps/>
          <w:color w:val="2D2D2D"/>
          <w:sz w:val="45"/>
          <w:szCs w:val="45"/>
          <w:lang w:eastAsia="ru-RU"/>
        </w:rPr>
      </w:pPr>
      <w:bookmarkStart w:id="0" w:name="_GoBack"/>
      <w:bookmarkEnd w:id="0"/>
    </w:p>
    <w:p w14:paraId="7907DEAD" w14:textId="0E212935" w:rsidR="004943A6" w:rsidRPr="004943A6" w:rsidRDefault="004943A6" w:rsidP="004943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В ГБУ РД "Хасавюртовская ЦГБ им. Р.П. </w:t>
      </w:r>
      <w:proofErr w:type="spellStart"/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Аскерханова</w:t>
      </w:r>
      <w:proofErr w:type="spellEnd"/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" проводится диагностика и лечение при острых и хронических заболеваниях на приеме и на дому, включая мероприятия по профилактике заболеваний (диспансерное наблюдение).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При острых заболеваниях помощь гарантируется в день обращения.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При невозможности больного по характеру и тяжести заболевания посетить поликлинику помощь ему оказывается на дому.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Пациенты, или их законные представители (родители детей и т.п.) имеют право выбора поликлиники и врача (при его согласии).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Прием пациентов осуществляется при предъявлении страхового полиса и документа, удостоверяющего личность; скорая и неотложная помощь оказывается без предъявления указанных документов.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Прием у врача осуществляется в часы его работы в порядке очередности или предварительной записи.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Объем диагностических и лечебных мероприятий для конкретного пациента определяется лечащим врачом в соответствии со стандартами обследования и лечения.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Обязательный объем лечебных и диагностических мероприятий определяется медицинскими стандартами, утвержденными Минздравом РД.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 xml:space="preserve">Допускается наличие очереди при проведении определенных плановых диагностических (КТ, МРТ, </w:t>
      </w:r>
      <w:proofErr w:type="spellStart"/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холтеровское</w:t>
      </w:r>
      <w:proofErr w:type="spellEnd"/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 мониторирование, УЗИ сердца и т.п.) и лабораторных (исследования крови на ВУИ, гормоны и т.п.) исследований. Информация для застрахованных о допустимых сроках ожидания тех или иных исследований (сроки определяются администрацией медицинского учреждения) размещается в медицинской организации (в фойе, регистратуре) и на сайте ЛПУ.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Иногородним больным медицинская помощь предоставляется при предъявлении страхового полиса или паспорта (для детей — паспорта одного из родителей или законного представителя ребенка). При отсутствии полиса «иногородний» гражданин вправе указать страховую принадлежность (реквизиты страховой медицинской организации, выдавшей полис обязательного медицинского страхования). В этом случае ЛПУ обязано обратиться в Республиканский фонд обязательного медицинского страхования «Дагестан» для идентификации страхового полиса в последующим представлением страхового случая на оплату. Оплата случаев оказания МП «иногородним гражданам производится в РФОМС «Дагестан».</w:t>
      </w: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br/>
        <w:t>Без очереди обслуживаются инвалиды и участники Великой Отечественной войны и приравненные к ним группы, инвалиды, имеющие III и II степени ограничения способности к трудовой деятельности, реабилитированные и лица, признанные пострадавшими от политических репрессий, дети-инвалиды, дети-сироты, дети из многодетных семей и их родители, граждане, награжденные знаком «Почетный донор России», медицинские работники и их дети.</w:t>
      </w:r>
    </w:p>
    <w:p w14:paraId="3DF67D19" w14:textId="77777777" w:rsidR="004943A6" w:rsidRPr="004943A6" w:rsidRDefault="004943A6" w:rsidP="004943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В Хасавюртовской центральной городской больнице им. Р.П. </w:t>
      </w:r>
      <w:proofErr w:type="spellStart"/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Аскерханова</w:t>
      </w:r>
      <w:proofErr w:type="spellEnd"/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 пациентам оказывается </w:t>
      </w:r>
      <w:hyperlink r:id="rId5" w:history="1">
        <w:r w:rsidRPr="004943A6">
          <w:rPr>
            <w:rFonts w:ascii="inherit" w:eastAsia="Times New Roman" w:hAnsi="inherit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специализированная</w:t>
        </w:r>
      </w:hyperlink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медицинская помощь по следующим направлениям:</w:t>
      </w:r>
    </w:p>
    <w:p w14:paraId="3429F170" w14:textId="77777777" w:rsidR="004943A6" w:rsidRPr="004943A6" w:rsidRDefault="004943A6" w:rsidP="004943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 </w:t>
      </w:r>
    </w:p>
    <w:p w14:paraId="482028DC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Кардиология</w:t>
      </w:r>
    </w:p>
    <w:p w14:paraId="14CC4B3A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Урология</w:t>
      </w:r>
    </w:p>
    <w:p w14:paraId="7C6EB899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Терапия</w:t>
      </w:r>
    </w:p>
    <w:p w14:paraId="3EACBF31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Травматологии и ортопедии</w:t>
      </w:r>
    </w:p>
    <w:p w14:paraId="042F8D27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Неврология</w:t>
      </w:r>
    </w:p>
    <w:p w14:paraId="2F46B62F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 xml:space="preserve">Педиатрия и </w:t>
      </w:r>
      <w:proofErr w:type="spellStart"/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неонаталогия</w:t>
      </w:r>
      <w:proofErr w:type="spellEnd"/>
    </w:p>
    <w:p w14:paraId="46C7F893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Стоматология</w:t>
      </w:r>
    </w:p>
    <w:p w14:paraId="0097EE88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Акушерство и гинекология</w:t>
      </w:r>
    </w:p>
    <w:p w14:paraId="5FA683B0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Гематология</w:t>
      </w:r>
    </w:p>
    <w:p w14:paraId="1216DE31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Инфекционные болезни</w:t>
      </w:r>
    </w:p>
    <w:p w14:paraId="1256C848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Клинико-лабораторная диагностика</w:t>
      </w:r>
    </w:p>
    <w:p w14:paraId="264E3AC3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Онкология</w:t>
      </w:r>
    </w:p>
    <w:p w14:paraId="2231250E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lastRenderedPageBreak/>
        <w:t>Оториноларингология</w:t>
      </w:r>
    </w:p>
    <w:p w14:paraId="5267583C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Офтальмология</w:t>
      </w:r>
    </w:p>
    <w:p w14:paraId="61B0E0F1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Психиатрия</w:t>
      </w:r>
    </w:p>
    <w:p w14:paraId="59B27403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Психиатрия-наркология</w:t>
      </w:r>
    </w:p>
    <w:p w14:paraId="2E197799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Рентгенология</w:t>
      </w:r>
    </w:p>
    <w:p w14:paraId="220E00A0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Ультразвуковая диагностика</w:t>
      </w:r>
    </w:p>
    <w:p w14:paraId="0E3ABE03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Физиотерапия</w:t>
      </w:r>
    </w:p>
    <w:p w14:paraId="7E98424B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Функциональная диагностика</w:t>
      </w:r>
    </w:p>
    <w:p w14:paraId="323422D8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Хирургия</w:t>
      </w:r>
    </w:p>
    <w:p w14:paraId="15298C04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Эндокринология</w:t>
      </w:r>
    </w:p>
    <w:p w14:paraId="75ED3D3B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Эндоскопия</w:t>
      </w:r>
    </w:p>
    <w:p w14:paraId="29530116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Медицинский массаж</w:t>
      </w:r>
    </w:p>
    <w:p w14:paraId="705D7E2F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Анестезиология и реаниматология</w:t>
      </w:r>
    </w:p>
    <w:p w14:paraId="4DBEBF12" w14:textId="77777777" w:rsidR="004943A6" w:rsidRPr="004943A6" w:rsidRDefault="004943A6" w:rsidP="004943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1D1819"/>
          <w:sz w:val="21"/>
          <w:szCs w:val="21"/>
          <w:lang w:eastAsia="ru-RU"/>
        </w:rPr>
      </w:pPr>
      <w:r w:rsidRPr="004943A6">
        <w:rPr>
          <w:rFonts w:ascii="Arial" w:eastAsia="Times New Roman" w:hAnsi="Arial" w:cs="Arial"/>
          <w:color w:val="1D1819"/>
          <w:sz w:val="21"/>
          <w:szCs w:val="21"/>
          <w:lang w:eastAsia="ru-RU"/>
        </w:rPr>
        <w:t>Дерматовенерология</w:t>
      </w:r>
    </w:p>
    <w:p w14:paraId="62AA9354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13F6"/>
    <w:multiLevelType w:val="multilevel"/>
    <w:tmpl w:val="D2F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FE"/>
    <w:rsid w:val="004943A6"/>
    <w:rsid w:val="007914E2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8B8"/>
  <w15:chartTrackingRefBased/>
  <w15:docId w15:val="{F1A8A938-76FE-4E88-8AA4-84176944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mazovcentre.ru/?page_id=2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2019-07-17T06:40:00Z</dcterms:created>
  <dcterms:modified xsi:type="dcterms:W3CDTF">2019-07-17T06:40:00Z</dcterms:modified>
</cp:coreProperties>
</file>