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95B07" w14:textId="77777777" w:rsidR="005276D3" w:rsidRPr="005276D3" w:rsidRDefault="005276D3" w:rsidP="005276D3">
      <w:pPr>
        <w:shd w:val="clear" w:color="auto" w:fill="E7E9EB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В соответствии c </w:t>
      </w:r>
      <w:hyperlink r:id="rId5" w:history="1">
        <w:r w:rsidRPr="005276D3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bdr w:val="none" w:sz="0" w:space="0" w:color="auto" w:frame="1"/>
            <w:lang w:eastAsia="ru-RU"/>
          </w:rPr>
          <w:t>программой государственных гарантий бесплатного оказания гражданам медицинской помощи</w:t>
        </w:r>
      </w:hyperlink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 населению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 в следующих страховых случаях:</w:t>
      </w:r>
    </w:p>
    <w:p w14:paraId="36C5CDAC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инфекционные и паразитарные болезни, за исключением болезней, передающихся половым путем, туберкулеза, ВИЧ-инфекции и СПИДа;</w:t>
      </w:r>
    </w:p>
    <w:p w14:paraId="5D7006D1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новообразования;</w:t>
      </w:r>
    </w:p>
    <w:p w14:paraId="2DC256C5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болезни эндокринной системы;</w:t>
      </w:r>
    </w:p>
    <w:p w14:paraId="13878B0D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расстройства питания и нарушения обмена веществ;</w:t>
      </w:r>
    </w:p>
    <w:p w14:paraId="51EE3023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болезни нервной системы;</w:t>
      </w:r>
    </w:p>
    <w:p w14:paraId="39B99451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болезни крови, кроветворных органов;</w:t>
      </w:r>
    </w:p>
    <w:p w14:paraId="1F7BCCF5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отдельные нарушения, вовлекающие иммунный механизм;</w:t>
      </w:r>
    </w:p>
    <w:p w14:paraId="6B728B33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болезни глаза и его придаточного аппарата;</w:t>
      </w:r>
    </w:p>
    <w:p w14:paraId="24530636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болезни уха и сосцевидного отростка;</w:t>
      </w:r>
    </w:p>
    <w:p w14:paraId="202201A3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болезни системы кровообращения;</w:t>
      </w:r>
    </w:p>
    <w:p w14:paraId="53A590A6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болезни органов дыхания;</w:t>
      </w:r>
    </w:p>
    <w:p w14:paraId="11AB0042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болезни органов пищеварения;</w:t>
      </w:r>
    </w:p>
    <w:p w14:paraId="6835902F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болезни мочеполовой системы;</w:t>
      </w:r>
    </w:p>
    <w:p w14:paraId="69E93B5B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болезни кожи и подкожной клетчатки;</w:t>
      </w:r>
    </w:p>
    <w:p w14:paraId="3396FB8F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болезни костно-мышечной системы и соединительной ткани;</w:t>
      </w:r>
    </w:p>
    <w:p w14:paraId="423D6D33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травмы, отравления и некоторые другие последствия воздействия внешних причин;</w:t>
      </w:r>
    </w:p>
    <w:p w14:paraId="4993059C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врожденные аномалии (пороки развития);</w:t>
      </w:r>
    </w:p>
    <w:p w14:paraId="284B0179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деформации и хромосомные нарушения;</w:t>
      </w:r>
    </w:p>
    <w:p w14:paraId="60844397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беременность, роды, послеродовой период и аборты;</w:t>
      </w:r>
    </w:p>
    <w:p w14:paraId="4D21E061" w14:textId="77777777" w:rsidR="005276D3" w:rsidRPr="005276D3" w:rsidRDefault="005276D3" w:rsidP="005276D3">
      <w:pPr>
        <w:numPr>
          <w:ilvl w:val="0"/>
          <w:numId w:val="1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отдельные состояния, возникающие у детей в перинатальный период.</w:t>
      </w:r>
    </w:p>
    <w:p w14:paraId="27A9D1FD" w14:textId="77777777" w:rsidR="005276D3" w:rsidRPr="005276D3" w:rsidRDefault="005276D3" w:rsidP="00527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shd w:val="clear" w:color="auto" w:fill="E7E9EB"/>
          <w:lang w:eastAsia="ru-RU"/>
        </w:rPr>
        <w:t>Кроме того, в рамках базовой программы обязательного медицинского страхования осуществляется финансовое обеспечение мероприятий по:</w:t>
      </w:r>
    </w:p>
    <w:p w14:paraId="38E9AE34" w14:textId="77777777" w:rsidR="005276D3" w:rsidRPr="005276D3" w:rsidRDefault="005276D3" w:rsidP="005276D3">
      <w:pPr>
        <w:numPr>
          <w:ilvl w:val="0"/>
          <w:numId w:val="2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диспансеризации отдельных категорий граждан;</w:t>
      </w:r>
    </w:p>
    <w:p w14:paraId="77CCCBD1" w14:textId="77777777" w:rsidR="005276D3" w:rsidRPr="005276D3" w:rsidRDefault="005276D3" w:rsidP="005276D3">
      <w:pPr>
        <w:numPr>
          <w:ilvl w:val="0"/>
          <w:numId w:val="2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применению вспомогательных репродуктивных технологий (</w:t>
      </w:r>
      <w:proofErr w:type="spellStart"/>
      <w:proofErr w:type="gramStart"/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экстракорпо-рального</w:t>
      </w:r>
      <w:proofErr w:type="spellEnd"/>
      <w:proofErr w:type="gramEnd"/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 xml:space="preserve"> оплодотворения), включая лекарственное обеспечение в соответствии с законодательством Российской Федерации;</w:t>
      </w:r>
    </w:p>
    <w:p w14:paraId="06B40358" w14:textId="77777777" w:rsidR="005276D3" w:rsidRPr="005276D3" w:rsidRDefault="005276D3" w:rsidP="005276D3">
      <w:pPr>
        <w:numPr>
          <w:ilvl w:val="0"/>
          <w:numId w:val="2"/>
        </w:numPr>
        <w:spacing w:beforeAutospacing="1" w:after="0" w:afterAutospacing="1" w:line="312" w:lineRule="atLeast"/>
        <w:jc w:val="both"/>
        <w:textAlignment w:val="baseline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5276D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медицинской реабилитации, осуществляемой в медицинских организациях.</w:t>
      </w:r>
    </w:p>
    <w:p w14:paraId="6DB8D80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B3B45"/>
    <w:multiLevelType w:val="multilevel"/>
    <w:tmpl w:val="1AC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717C8"/>
    <w:multiLevelType w:val="multilevel"/>
    <w:tmpl w:val="0648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2D"/>
    <w:rsid w:val="00117239"/>
    <w:rsid w:val="0042232D"/>
    <w:rsid w:val="005276D3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351C9-C267-42C1-AD80-88AE2739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7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7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pcrb.vmsk.ru/wp-content/uploads/2018/05/pgg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2019-08-04T08:43:00Z</dcterms:created>
  <dcterms:modified xsi:type="dcterms:W3CDTF">2019-08-04T08:43:00Z</dcterms:modified>
</cp:coreProperties>
</file>