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06D1" w14:textId="77777777" w:rsidR="00184EA4" w:rsidRPr="00184EA4" w:rsidRDefault="00184EA4" w:rsidP="00184EA4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184EA4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Диспансеризация и профилактические осмотры взрослого населения</w:t>
      </w:r>
    </w:p>
    <w:p w14:paraId="6ACCA7DC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Иформируем Вас о том, что с июня 2019 года проводятся профилактические медицинские осмотры маломобильным гражданам. Организована транспортировка данной группы граждан специальным транспортом Центра социального обслуживания населения.</w:t>
      </w:r>
    </w:p>
    <w:p w14:paraId="48509A22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Заявки на осмотры Вы можете подать участковому врачу-терапевту.</w:t>
      </w:r>
    </w:p>
    <w:p w14:paraId="5735E3E4" w14:textId="77777777" w:rsidR="00184EA4" w:rsidRDefault="00184EA4" w:rsidP="00184EA4">
      <w:pPr>
        <w:spacing w:before="600" w:after="225"/>
        <w:rPr>
          <w:rFonts w:ascii="Times New Roman" w:hAnsi="Times New Roman"/>
          <w:sz w:val="24"/>
          <w:szCs w:val="24"/>
        </w:rPr>
      </w:pPr>
      <w:r>
        <w:pict w14:anchorId="607454BF">
          <v:rect id="_x0000_i1025" style="width:0;height:0" o:hralign="center" o:hrstd="t" o:hrnoshade="t" o:hr="t" fillcolor="#222" stroked="f"/>
        </w:pict>
      </w:r>
    </w:p>
    <w:p w14:paraId="49747DFD" w14:textId="77777777" w:rsidR="00184EA4" w:rsidRDefault="00184EA4" w:rsidP="00184EA4">
      <w:pPr>
        <w:pStyle w:val="3"/>
        <w:shd w:val="clear" w:color="auto" w:fill="FFFFFF"/>
        <w:spacing w:before="0" w:after="150" w:line="420" w:lineRule="atLeast"/>
        <w:rPr>
          <w:rFonts w:ascii="Arial" w:hAnsi="Arial" w:cs="Arial"/>
          <w:color w:val="444444"/>
          <w:sz w:val="36"/>
          <w:szCs w:val="36"/>
        </w:rPr>
      </w:pPr>
      <w:hyperlink r:id="rId5" w:tgtFrame="_blank" w:history="1">
        <w:r>
          <w:rPr>
            <w:rStyle w:val="a5"/>
            <w:rFonts w:ascii="Arial" w:hAnsi="Arial" w:cs="Arial"/>
            <w:b w:val="0"/>
            <w:bCs w:val="0"/>
            <w:i/>
            <w:iCs/>
            <w:color w:val="DD0055"/>
            <w:sz w:val="36"/>
            <w:szCs w:val="36"/>
          </w:rPr>
          <w:t>приказ о вечернем времени диспансеризации &gt;&gt;</w:t>
        </w:r>
      </w:hyperlink>
    </w:p>
    <w:p w14:paraId="15123CC9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Диспансеризация взрослого населения (ДВН)проводится в</w:t>
      </w:r>
      <w:r>
        <w:rPr>
          <w:rFonts w:ascii="Open Sans" w:hAnsi="Open Sans"/>
          <w:color w:val="222222"/>
          <w:sz w:val="21"/>
          <w:szCs w:val="21"/>
        </w:rPr>
        <w:br/>
        <w:t>поликлиниках № 1, № 2, № 3 и № 4 с</w:t>
      </w:r>
      <w:r>
        <w:rPr>
          <w:rFonts w:ascii="Open Sans" w:hAnsi="Open Sans"/>
          <w:color w:val="222222"/>
          <w:sz w:val="21"/>
          <w:szCs w:val="21"/>
        </w:rPr>
        <w:br/>
        <w:t>08–00 до 19–00 (регистрация последнего пациента в 18–30).</w:t>
      </w:r>
      <w:r>
        <w:rPr>
          <w:rFonts w:ascii="Open Sans" w:hAnsi="Open Sans"/>
          <w:color w:val="222222"/>
          <w:sz w:val="21"/>
          <w:szCs w:val="21"/>
        </w:rPr>
        <w:br/>
        <w:t>В субботу с 08–00 до 14–00 (регистрация последнего пациента в 13–30).</w:t>
      </w:r>
    </w:p>
    <w:p w14:paraId="77B2B7BE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На сайте медицинской организации в «Портале пациента» предусмотрена</w:t>
      </w:r>
      <w:r>
        <w:rPr>
          <w:rFonts w:ascii="Open Sans" w:hAnsi="Open Sans"/>
          <w:color w:val="222222"/>
          <w:sz w:val="21"/>
          <w:szCs w:val="21"/>
        </w:rPr>
        <w:br/>
        <w:t>предварительная дистанционная запись на ДВН.</w:t>
      </w:r>
    </w:p>
    <w:p w14:paraId="1E3FF43A" w14:textId="77777777" w:rsidR="00184EA4" w:rsidRDefault="00184EA4" w:rsidP="00184EA4">
      <w:pPr>
        <w:spacing w:before="600" w:after="225"/>
        <w:rPr>
          <w:rFonts w:ascii="Times New Roman" w:hAnsi="Times New Roman"/>
          <w:sz w:val="24"/>
          <w:szCs w:val="24"/>
        </w:rPr>
      </w:pPr>
      <w:r>
        <w:pict w14:anchorId="69E3FF79">
          <v:rect id="_x0000_i1026" style="width:0;height:0" o:hralign="center" o:hrstd="t" o:hrnoshade="t" o:hr="t" fillcolor="#222" stroked="f"/>
        </w:pict>
      </w:r>
    </w:p>
    <w:p w14:paraId="168926D2" w14:textId="77777777" w:rsidR="00184EA4" w:rsidRDefault="00184EA4" w:rsidP="00184EA4">
      <w:pPr>
        <w:pStyle w:val="3"/>
        <w:shd w:val="clear" w:color="auto" w:fill="FFFFFF"/>
        <w:spacing w:before="0" w:after="150" w:line="420" w:lineRule="atLeast"/>
        <w:rPr>
          <w:rFonts w:ascii="Arial" w:hAnsi="Arial" w:cs="Arial"/>
          <w:color w:val="444444"/>
          <w:sz w:val="36"/>
          <w:szCs w:val="36"/>
        </w:rPr>
      </w:pPr>
      <w:hyperlink r:id="rId6" w:tgtFrame="_blank" w:history="1">
        <w:r>
          <w:rPr>
            <w:rStyle w:val="a5"/>
            <w:rFonts w:ascii="Arial" w:hAnsi="Arial" w:cs="Arial"/>
            <w:b w:val="0"/>
            <w:bCs w:val="0"/>
            <w:i/>
            <w:iCs/>
            <w:color w:val="DD0055"/>
            <w:sz w:val="36"/>
            <w:szCs w:val="36"/>
          </w:rPr>
          <w:t>Диспансеризации в 2019 г. подлежат граждане &gt;&gt;</w:t>
        </w:r>
      </w:hyperlink>
    </w:p>
    <w:p w14:paraId="26A30049" w14:textId="77777777" w:rsidR="00184EA4" w:rsidRDefault="00184EA4" w:rsidP="00184EA4">
      <w:pPr>
        <w:pStyle w:val="3"/>
        <w:shd w:val="clear" w:color="auto" w:fill="FFFFFF"/>
        <w:spacing w:before="0" w:after="150" w:line="420" w:lineRule="atLeast"/>
        <w:rPr>
          <w:rFonts w:ascii="Arial" w:hAnsi="Arial" w:cs="Arial"/>
          <w:b/>
          <w:bCs/>
          <w:color w:val="444444"/>
          <w:sz w:val="36"/>
          <w:szCs w:val="36"/>
        </w:rPr>
      </w:pPr>
      <w:hyperlink r:id="rId7" w:tgtFrame="_blank" w:history="1">
        <w:r>
          <w:rPr>
            <w:rStyle w:val="a5"/>
            <w:rFonts w:ascii="Arial" w:hAnsi="Arial" w:cs="Arial"/>
            <w:b w:val="0"/>
            <w:bCs w:val="0"/>
            <w:i/>
            <w:iCs/>
            <w:color w:val="DD0055"/>
            <w:sz w:val="36"/>
            <w:szCs w:val="36"/>
          </w:rPr>
          <w:t>Изменения в правилах диспансеризации с 2019 года &gt;&gt;</w:t>
        </w:r>
      </w:hyperlink>
    </w:p>
    <w:p w14:paraId="564EBA9F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Диспансеризация проводится 1 раз в 3 года в определенные возрастные периоды в возрасте 18 лет и старше:</w:t>
      </w:r>
    </w:p>
    <w:p w14:paraId="255A5841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1) работающие граждане;</w:t>
      </w:r>
    </w:p>
    <w:p w14:paraId="15F87E12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2) неработающие граждане;</w:t>
      </w:r>
    </w:p>
    <w:p w14:paraId="790944D0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3) обучающиеся в образовательных организациях по очной форме.</w:t>
      </w:r>
    </w:p>
    <w:p w14:paraId="73A1DC51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Инвалиды Великой Отечественной войны , лица 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 проходят диспансеризацию ежегодно вне зависимости от возраста.</w:t>
      </w:r>
    </w:p>
    <w:p w14:paraId="238DF9E7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rFonts w:ascii="Open Sans" w:hAnsi="Open Sans"/>
          <w:color w:val="222222"/>
          <w:sz w:val="21"/>
          <w:szCs w:val="21"/>
        </w:rPr>
        <w:t>Основные цели диспансеризации</w:t>
      </w:r>
    </w:p>
    <w:p w14:paraId="18B8CABE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14:paraId="04469ADE" w14:textId="77777777" w:rsidR="00184EA4" w:rsidRDefault="00184EA4" w:rsidP="0018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lastRenderedPageBreak/>
        <w:t>болезни системы кровообращения и в первую очередь ишемическая болезнь сердца и цереброваскулярные заболевания;</w:t>
      </w:r>
    </w:p>
    <w:p w14:paraId="23AFE0D6" w14:textId="77777777" w:rsidR="00184EA4" w:rsidRDefault="00184EA4" w:rsidP="0018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злокачественные новообразования;</w:t>
      </w:r>
    </w:p>
    <w:p w14:paraId="2D512F56" w14:textId="77777777" w:rsidR="00184EA4" w:rsidRDefault="00184EA4" w:rsidP="0018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сахарный диабет;</w:t>
      </w:r>
    </w:p>
    <w:p w14:paraId="1E91B58F" w14:textId="77777777" w:rsidR="00184EA4" w:rsidRDefault="00184EA4" w:rsidP="00184E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хронические болезни легких.</w:t>
      </w:r>
    </w:p>
    <w:p w14:paraId="56EEF515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Указанные болезни обуславливают более 75 % всей смертности населения нашей страны.</w:t>
      </w:r>
    </w:p>
    <w:p w14:paraId="283D0112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Кроме того, диспансеризация направлена на выявление и коррекцию </w:t>
      </w:r>
      <w:r>
        <w:rPr>
          <w:rStyle w:val="a5"/>
          <w:rFonts w:ascii="Open Sans" w:hAnsi="Open Sans"/>
          <w:color w:val="222222"/>
          <w:sz w:val="21"/>
          <w:szCs w:val="21"/>
          <w:u w:val="single"/>
        </w:rPr>
        <w:t>основных факторов риска</w:t>
      </w:r>
      <w:r>
        <w:rPr>
          <w:rFonts w:ascii="Open Sans" w:hAnsi="Open Sans"/>
          <w:color w:val="222222"/>
          <w:sz w:val="21"/>
          <w:szCs w:val="21"/>
        </w:rPr>
        <w:t> развития указанных заболеваний, к которым относятся:</w:t>
      </w:r>
    </w:p>
    <w:p w14:paraId="475ECC3B" w14:textId="77777777" w:rsidR="00184EA4" w:rsidRDefault="00184EA4" w:rsidP="0018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повышенный уровень артериального давления;</w:t>
      </w:r>
    </w:p>
    <w:p w14:paraId="1ACDD238" w14:textId="77777777" w:rsidR="00184EA4" w:rsidRDefault="00184EA4" w:rsidP="0018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повышенный уровень холестерина в крови;</w:t>
      </w:r>
    </w:p>
    <w:p w14:paraId="65067F90" w14:textId="77777777" w:rsidR="00184EA4" w:rsidRDefault="00184EA4" w:rsidP="0018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повышенный уровень глюкозы в крови;</w:t>
      </w:r>
    </w:p>
    <w:p w14:paraId="4558B39E" w14:textId="77777777" w:rsidR="00184EA4" w:rsidRDefault="00184EA4" w:rsidP="0018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курение табака;</w:t>
      </w:r>
    </w:p>
    <w:p w14:paraId="76EF9B59" w14:textId="77777777" w:rsidR="00184EA4" w:rsidRDefault="00184EA4" w:rsidP="0018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пагубное потребление алкоголя;</w:t>
      </w:r>
    </w:p>
    <w:p w14:paraId="61279533" w14:textId="77777777" w:rsidR="00184EA4" w:rsidRDefault="00184EA4" w:rsidP="0018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нерациональное питание;</w:t>
      </w:r>
    </w:p>
    <w:p w14:paraId="4693A6B6" w14:textId="77777777" w:rsidR="00184EA4" w:rsidRDefault="00184EA4" w:rsidP="0018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низкая физическая активность;</w:t>
      </w:r>
    </w:p>
    <w:p w14:paraId="296F5E26" w14:textId="77777777" w:rsidR="00184EA4" w:rsidRDefault="00184EA4" w:rsidP="00184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избыточная масса тела или ожирение.</w:t>
      </w:r>
    </w:p>
    <w:p w14:paraId="307B9CF7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</w:t>
      </w:r>
    </w:p>
    <w:p w14:paraId="11417C4F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14:paraId="184AAE9B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rFonts w:ascii="Open Sans" w:hAnsi="Open Sans"/>
          <w:color w:val="222222"/>
          <w:sz w:val="21"/>
          <w:szCs w:val="21"/>
        </w:rPr>
        <w:t>Где и когда можно пройти диспансеризацию</w:t>
      </w:r>
    </w:p>
    <w:p w14:paraId="041923DD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Граждане проходят диспансеризацию в медицинской организации по месту жительства, работы, учебы или выбору гражданина, в которой они получают первичную медико-санитарную помощь.</w:t>
      </w:r>
    </w:p>
    <w:p w14:paraId="53818790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Диспансеризация взрослого населения (ДВН)проводится в поликлиниках № </w:t>
      </w:r>
      <w:r>
        <w:rPr>
          <w:rFonts w:ascii="Open Sans" w:hAnsi="Open Sans"/>
          <w:color w:val="222222"/>
          <w:sz w:val="21"/>
          <w:szCs w:val="21"/>
        </w:rPr>
        <w:br/>
        <w:t>1, № 2, № 3 и № 4 с 08–00 до 19–00 (регистрация последнего пациента в 18–30).</w:t>
      </w:r>
      <w:r>
        <w:rPr>
          <w:rFonts w:ascii="Open Sans" w:hAnsi="Open Sans"/>
          <w:color w:val="222222"/>
          <w:sz w:val="21"/>
          <w:szCs w:val="21"/>
        </w:rPr>
        <w:br/>
        <w:t>В субботу с 08–00 до 14–00 (регистрация последнего пациента в 13–30).</w:t>
      </w:r>
    </w:p>
    <w:p w14:paraId="2B3A7495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На сайте медицинской организации в «Портале пациента» предусмотрена предварительная дистанционная запись на ДВН.</w:t>
      </w:r>
    </w:p>
    <w:p w14:paraId="7C9746BA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rFonts w:ascii="Open Sans" w:hAnsi="Open Sans"/>
          <w:color w:val="222222"/>
          <w:sz w:val="21"/>
          <w:szCs w:val="21"/>
        </w:rPr>
        <w:t>Контактные телефоны для получения дополнительной информации: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3251"/>
        <w:gridCol w:w="4149"/>
        <w:gridCol w:w="1671"/>
        <w:gridCol w:w="1786"/>
      </w:tblGrid>
      <w:tr w:rsidR="00184EA4" w14:paraId="1849C3A3" w14:textId="77777777" w:rsidTr="00184EA4">
        <w:tc>
          <w:tcPr>
            <w:tcW w:w="10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13C2A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Style w:val="a5"/>
                <w:rFonts w:ascii="Open Sans" w:hAnsi="Open Sans"/>
                <w:i/>
                <w:iCs/>
                <w:color w:val="DD00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F4FE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Style w:val="a5"/>
                <w:rFonts w:ascii="Open Sans" w:hAnsi="Open Sans"/>
                <w:i/>
                <w:iCs/>
                <w:color w:val="DD0055"/>
                <w:sz w:val="21"/>
                <w:szCs w:val="21"/>
              </w:rPr>
              <w:t> </w:t>
            </w:r>
          </w:p>
        </w:tc>
        <w:tc>
          <w:tcPr>
            <w:tcW w:w="1850" w:type="pct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C9708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Style w:val="a5"/>
                <w:rFonts w:ascii="Open Sans" w:hAnsi="Open Sans"/>
                <w:i/>
                <w:iCs/>
                <w:color w:val="DD0055"/>
                <w:sz w:val="21"/>
                <w:szCs w:val="21"/>
              </w:rPr>
              <w:t>Заведующая поликлиникой</w:t>
            </w:r>
          </w:p>
        </w:tc>
        <w:tc>
          <w:tcPr>
            <w:tcW w:w="9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AD0D1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Style w:val="a5"/>
                <w:rFonts w:ascii="Open Sans" w:hAnsi="Open Sans"/>
                <w:i/>
                <w:iCs/>
                <w:color w:val="DD0055"/>
                <w:sz w:val="21"/>
                <w:szCs w:val="21"/>
              </w:rPr>
              <w:t>регистратура</w:t>
            </w:r>
          </w:p>
        </w:tc>
      </w:tr>
      <w:tr w:rsidR="00184EA4" w14:paraId="14AF0A82" w14:textId="77777777" w:rsidTr="00184EA4">
        <w:tc>
          <w:tcPr>
            <w:tcW w:w="10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2F24B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поликлиника № 1</w:t>
            </w:r>
          </w:p>
        </w:tc>
        <w:tc>
          <w:tcPr>
            <w:tcW w:w="15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61C48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ул. Ступина, 15а</w:t>
            </w:r>
          </w:p>
        </w:tc>
        <w:tc>
          <w:tcPr>
            <w:tcW w:w="1850" w:type="pct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7EBB8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Переводова Наталья Григорьевна</w:t>
            </w:r>
            <w:r>
              <w:rPr>
                <w:rFonts w:ascii="Open Sans" w:hAnsi="Open Sans"/>
                <w:color w:val="222222"/>
                <w:sz w:val="21"/>
                <w:szCs w:val="21"/>
              </w:rPr>
              <w:br/>
              <w:t>7 07 73</w:t>
            </w:r>
          </w:p>
        </w:tc>
        <w:tc>
          <w:tcPr>
            <w:tcW w:w="9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ACB89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7 04 42</w:t>
            </w:r>
          </w:p>
        </w:tc>
      </w:tr>
      <w:tr w:rsidR="00184EA4" w14:paraId="77A09C06" w14:textId="77777777" w:rsidTr="00184EA4">
        <w:tc>
          <w:tcPr>
            <w:tcW w:w="10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2D87F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поликлиника № 2</w:t>
            </w:r>
          </w:p>
        </w:tc>
        <w:tc>
          <w:tcPr>
            <w:tcW w:w="15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84D9D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Комсомольский бульвар, 11</w:t>
            </w:r>
          </w:p>
        </w:tc>
        <w:tc>
          <w:tcPr>
            <w:tcW w:w="1850" w:type="pct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652D4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Маркина Ольга Николаевна</w:t>
            </w:r>
            <w:r>
              <w:rPr>
                <w:rFonts w:ascii="Open Sans" w:hAnsi="Open Sans"/>
                <w:color w:val="222222"/>
                <w:sz w:val="21"/>
                <w:szCs w:val="21"/>
              </w:rPr>
              <w:br/>
              <w:t>2 02 37</w:t>
            </w:r>
          </w:p>
        </w:tc>
        <w:tc>
          <w:tcPr>
            <w:tcW w:w="9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48434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2 18 14</w:t>
            </w:r>
          </w:p>
        </w:tc>
      </w:tr>
      <w:tr w:rsidR="00184EA4" w14:paraId="4F78CE6A" w14:textId="77777777" w:rsidTr="00184EA4">
        <w:tc>
          <w:tcPr>
            <w:tcW w:w="10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E89EA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поликлиника № 3</w:t>
            </w:r>
          </w:p>
        </w:tc>
        <w:tc>
          <w:tcPr>
            <w:tcW w:w="15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DBA09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9 Мая, 2г</w:t>
            </w:r>
          </w:p>
        </w:tc>
        <w:tc>
          <w:tcPr>
            <w:tcW w:w="1850" w:type="pct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6D7EA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И.о.заведующей Илюшина Татьяна Петровна</w:t>
            </w:r>
            <w:r>
              <w:rPr>
                <w:rFonts w:ascii="Open Sans" w:hAnsi="Open Sans"/>
                <w:color w:val="222222"/>
                <w:sz w:val="21"/>
                <w:szCs w:val="21"/>
              </w:rPr>
              <w:br/>
              <w:t>7 73 73</w:t>
            </w:r>
          </w:p>
        </w:tc>
        <w:tc>
          <w:tcPr>
            <w:tcW w:w="9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61462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6 77 55</w:t>
            </w:r>
          </w:p>
        </w:tc>
      </w:tr>
      <w:tr w:rsidR="00184EA4" w14:paraId="281093E8" w14:textId="77777777" w:rsidTr="00184EA4">
        <w:tc>
          <w:tcPr>
            <w:tcW w:w="10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3980A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поликлиника № 4</w:t>
            </w:r>
          </w:p>
        </w:tc>
        <w:tc>
          <w:tcPr>
            <w:tcW w:w="15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CA82E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Ул. Победы, 3б</w:t>
            </w:r>
          </w:p>
        </w:tc>
        <w:tc>
          <w:tcPr>
            <w:tcW w:w="1850" w:type="pct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C9972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Архангельская Елена Александровна</w:t>
            </w:r>
            <w:r>
              <w:rPr>
                <w:rFonts w:ascii="Open Sans" w:hAnsi="Open Sans"/>
                <w:color w:val="222222"/>
                <w:sz w:val="21"/>
                <w:szCs w:val="21"/>
              </w:rPr>
              <w:br/>
              <w:t>6 18 88</w:t>
            </w:r>
          </w:p>
        </w:tc>
        <w:tc>
          <w:tcPr>
            <w:tcW w:w="9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76EBF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6 39 00</w:t>
            </w:r>
          </w:p>
        </w:tc>
      </w:tr>
      <w:tr w:rsidR="00184EA4" w14:paraId="35B5D4E1" w14:textId="77777777" w:rsidTr="00184EA4">
        <w:tc>
          <w:tcPr>
            <w:tcW w:w="10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6E68D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77CB2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5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7B1D4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Заместитель главного врача по поликлинической работе</w:t>
            </w:r>
          </w:p>
        </w:tc>
        <w:tc>
          <w:tcPr>
            <w:tcW w:w="950" w:type="pc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DBA7A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Селюкина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7B775" w14:textId="77777777" w:rsidR="00184EA4" w:rsidRDefault="00184EA4">
            <w:pPr>
              <w:spacing w:after="360" w:line="360" w:lineRule="atLeast"/>
              <w:rPr>
                <w:rFonts w:ascii="Open Sans" w:hAnsi="Open Sans"/>
                <w:color w:val="222222"/>
                <w:sz w:val="21"/>
                <w:szCs w:val="21"/>
              </w:rPr>
            </w:pPr>
            <w:r>
              <w:rPr>
                <w:rFonts w:ascii="Open Sans" w:hAnsi="Open Sans"/>
                <w:color w:val="222222"/>
                <w:sz w:val="21"/>
                <w:szCs w:val="21"/>
              </w:rPr>
              <w:t>6 06 95</w:t>
            </w:r>
          </w:p>
        </w:tc>
      </w:tr>
    </w:tbl>
    <w:p w14:paraId="1BB47942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Ваш участковый врач или участковая медицинская сестра или сотрудник доврачебного кабинета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14:paraId="759C9152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rFonts w:ascii="Open Sans" w:hAnsi="Open Sans"/>
          <w:color w:val="222222"/>
          <w:sz w:val="21"/>
          <w:szCs w:val="21"/>
        </w:rPr>
        <w:t>Как пройти диспансеризацию работающему человеку</w:t>
      </w:r>
    </w:p>
    <w:p w14:paraId="127FE769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rFonts w:ascii="Open Sans" w:hAnsi="Open Sans"/>
          <w:color w:val="222222"/>
          <w:sz w:val="21"/>
          <w:szCs w:val="21"/>
          <w:u w:val="single"/>
        </w:rPr>
        <w:t>Согласно статьи 24 Федерального закона Российской Федерации от 21 ноября 2011 г. № 323-ФЗ</w:t>
      </w:r>
      <w:r>
        <w:rPr>
          <w:rFonts w:ascii="Open Sans" w:hAnsi="Open Sans"/>
          <w:color w:val="222222"/>
          <w:sz w:val="21"/>
          <w:szCs w:val="21"/>
        </w:rPr>
        <w:t> 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 </w:t>
      </w:r>
      <w:r>
        <w:rPr>
          <w:rStyle w:val="a5"/>
          <w:rFonts w:ascii="Open Sans" w:hAnsi="Open Sans"/>
          <w:color w:val="222222"/>
          <w:sz w:val="21"/>
          <w:szCs w:val="21"/>
          <w:u w:val="single"/>
        </w:rPr>
        <w:t>беспрепятственно отпускать работников для их прохождения</w:t>
      </w:r>
      <w:r>
        <w:rPr>
          <w:rFonts w:ascii="Open Sans" w:hAnsi="Open Sans"/>
          <w:color w:val="222222"/>
          <w:sz w:val="21"/>
          <w:szCs w:val="21"/>
        </w:rPr>
        <w:t>.</w:t>
      </w:r>
    </w:p>
    <w:p w14:paraId="4FDD5AEB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rFonts w:ascii="Open Sans" w:hAnsi="Open Sans"/>
          <w:color w:val="222222"/>
          <w:sz w:val="21"/>
          <w:szCs w:val="21"/>
        </w:rPr>
        <w:t>Сколько времени занимает прохождение диспансеризации</w:t>
      </w:r>
    </w:p>
    <w:p w14:paraId="79F5D6EA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Прохождение обследования первого этапа диспансеризации как правило требует два визита. </w:t>
      </w:r>
      <w:r>
        <w:rPr>
          <w:rStyle w:val="a5"/>
          <w:rFonts w:ascii="Open Sans" w:hAnsi="Open Sans"/>
          <w:color w:val="222222"/>
          <w:sz w:val="21"/>
          <w:szCs w:val="21"/>
          <w:u w:val="single"/>
        </w:rPr>
        <w:t>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</w:t>
      </w:r>
      <w:r>
        <w:rPr>
          <w:rFonts w:ascii="Open Sans" w:hAnsi="Open Sans"/>
          <w:color w:val="222222"/>
          <w:sz w:val="21"/>
          <w:szCs w:val="21"/>
        </w:rPr>
        <w:t> 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14:paraId="6742BE46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b/>
          <w:bCs/>
          <w:color w:val="DD0055"/>
          <w:sz w:val="21"/>
          <w:szCs w:val="21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</w:t>
      </w:r>
      <w:r>
        <w:rPr>
          <w:rStyle w:val="a4"/>
          <w:rFonts w:ascii="Open Sans" w:hAnsi="Open Sans"/>
          <w:b/>
          <w:bCs/>
          <w:color w:val="DD0055"/>
          <w:sz w:val="21"/>
          <w:szCs w:val="21"/>
        </w:rPr>
        <w:lastRenderedPageBreak/>
        <w:t>направляет на второй этап диспансеризации, длительность прохождения которого зависит от объема необходимого Вам дополнительного обследования</w:t>
      </w:r>
    </w:p>
    <w:p w14:paraId="068A7998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rFonts w:ascii="Open Sans" w:hAnsi="Open Sans"/>
          <w:color w:val="222222"/>
          <w:sz w:val="21"/>
          <w:szCs w:val="21"/>
        </w:rPr>
        <w:t>Какая подготовка нужна для прохождения диспансеризации:</w:t>
      </w:r>
    </w:p>
    <w:p w14:paraId="096780DB" w14:textId="77777777" w:rsidR="00184EA4" w:rsidRDefault="00184EA4" w:rsidP="0018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14:paraId="62C713B8" w14:textId="77777777" w:rsidR="00184EA4" w:rsidRDefault="00184EA4" w:rsidP="0018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  <w:u w:val="single"/>
        </w:rPr>
        <w:t>Взять с собой утреннюю порцию мочи в объеме 100-150 мл.</w:t>
      </w:r>
      <w:r>
        <w:rPr>
          <w:rFonts w:ascii="Open Sans" w:hAnsi="Open Sans"/>
          <w:color w:val="222222"/>
          <w:sz w:val="21"/>
          <w:szCs w:val="21"/>
        </w:rPr>
        <w:t> Перед сбором мочи обязательно следует сделать тщательный туалет половых органов. </w:t>
      </w:r>
      <w:r>
        <w:rPr>
          <w:rStyle w:val="a5"/>
          <w:rFonts w:ascii="Open Sans" w:hAnsi="Open Sans"/>
          <w:color w:val="222222"/>
          <w:sz w:val="21"/>
          <w:szCs w:val="21"/>
        </w:rPr>
        <w:t>Для сбора мочи и кала</w:t>
      </w:r>
      <w:r>
        <w:rPr>
          <w:rFonts w:ascii="Open Sans" w:hAnsi="Open Sans"/>
          <w:color w:val="222222"/>
          <w:sz w:val="21"/>
          <w:szCs w:val="21"/>
        </w:rPr>
        <w:t> предпочтительно использовать промышленно произведенные специальные контейнеры (небольшие </w:t>
      </w:r>
      <w:r>
        <w:rPr>
          <w:rStyle w:val="a5"/>
          <w:rFonts w:ascii="Open Sans" w:hAnsi="Open Sans"/>
          <w:color w:val="222222"/>
          <w:sz w:val="21"/>
          <w:szCs w:val="21"/>
          <w:u w:val="single"/>
        </w:rPr>
        <w:t>емкости) для биопроб, которые можно приобрести в аптеке</w:t>
      </w:r>
      <w:r>
        <w:rPr>
          <w:rFonts w:ascii="Open Sans" w:hAnsi="Open Sans"/>
          <w:color w:val="222222"/>
          <w:sz w:val="21"/>
          <w:szCs w:val="21"/>
        </w:rPr>
        <w:t>. Для анализа мочи нужно собрать среднюю порцию мочи (начать мочеиспускание, а затем через 2–3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</w:t>
      </w:r>
    </w:p>
    <w:p w14:paraId="0A4C6299" w14:textId="77777777" w:rsidR="00184EA4" w:rsidRDefault="00184EA4" w:rsidP="00184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  <w:u w:val="single"/>
        </w:rPr>
        <w:t>Лицам в возрасте 45 лет и старше для исследование кала на скрытую кровь </w:t>
      </w:r>
      <w:r>
        <w:rPr>
          <w:rFonts w:ascii="Open Sans" w:hAnsi="Open Sans"/>
          <w:color w:val="222222"/>
          <w:sz w:val="21"/>
          <w:szCs w:val="21"/>
        </w:rPr>
        <w:t>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</w:t>
      </w:r>
    </w:p>
    <w:p w14:paraId="2F6F3883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Избегайте чрезмерного разжижения образца каловых масс водой из чаши туалета. Это может быть причиной неправильного результата.</w:t>
      </w:r>
    </w:p>
    <w:p w14:paraId="58D7C484" w14:textId="77777777" w:rsidR="00184EA4" w:rsidRDefault="00184EA4" w:rsidP="0018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На емкости с мочой и калом необходимо разместить наклейку со своей фамилией и инициалами.</w:t>
      </w:r>
    </w:p>
    <w:p w14:paraId="689AEE5E" w14:textId="77777777" w:rsidR="00184EA4" w:rsidRDefault="00184EA4" w:rsidP="0018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</w:t>
      </w:r>
      <w:r>
        <w:rPr>
          <w:rFonts w:ascii="Open Sans" w:hAnsi="Open Sans"/>
          <w:color w:val="222222"/>
          <w:sz w:val="21"/>
          <w:szCs w:val="21"/>
        </w:rPr>
        <w:lastRenderedPageBreak/>
        <w:t>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14:paraId="1AB77400" w14:textId="77777777" w:rsidR="00184EA4" w:rsidRDefault="00184EA4" w:rsidP="0018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Мужчинам в возрасте старше 50 лет необходимо помнить, что лучше воздержаться от прохождения диспансеризации в течение 7-10 дней после любые воздействий на предстательную железу механического характера (ректальный осмотр, массаж простаты, клизмы, езда на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14:paraId="0AE9F467" w14:textId="77777777" w:rsidR="00184EA4" w:rsidRDefault="00184EA4" w:rsidP="0018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</w:t>
      </w:r>
    </w:p>
    <w:p w14:paraId="4C51C312" w14:textId="77777777" w:rsidR="00184EA4" w:rsidRDefault="00184EA4" w:rsidP="00184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Объем подготовки для прохождения второго этапа диспансеризации Вам объяснит участковый врач (фельдшер).</w:t>
      </w:r>
    </w:p>
    <w:p w14:paraId="77B57775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rFonts w:ascii="Open Sans" w:hAnsi="Open Sans"/>
          <w:color w:val="222222"/>
          <w:sz w:val="21"/>
          <w:szCs w:val="21"/>
        </w:rPr>
        <w:t>Какой документ получает гражданин по результатам прохождения диспансеризации</w:t>
      </w:r>
    </w:p>
    <w:p w14:paraId="07B4AF41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14:paraId="39B40BE2" w14:textId="77777777" w:rsidR="00184EA4" w:rsidRDefault="00184EA4" w:rsidP="00184EA4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Style w:val="a5"/>
          <w:rFonts w:ascii="Open Sans" w:hAnsi="Open Sans"/>
          <w:color w:val="222222"/>
          <w:sz w:val="21"/>
          <w:szCs w:val="21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14:paraId="5AD3326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5D0"/>
    <w:multiLevelType w:val="multilevel"/>
    <w:tmpl w:val="DE5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D6984"/>
    <w:multiLevelType w:val="multilevel"/>
    <w:tmpl w:val="6A9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22ADA"/>
    <w:multiLevelType w:val="multilevel"/>
    <w:tmpl w:val="35B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F19EA"/>
    <w:multiLevelType w:val="multilevel"/>
    <w:tmpl w:val="A600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0E"/>
    <w:rsid w:val="00184EA4"/>
    <w:rsid w:val="0040300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D3D6E-8900-43B5-8919-3D46A96D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4E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EA4"/>
    <w:rPr>
      <w:i/>
      <w:iCs/>
    </w:rPr>
  </w:style>
  <w:style w:type="character" w:styleId="a5">
    <w:name w:val="Strong"/>
    <w:basedOn w:val="a0"/>
    <w:uiPriority w:val="22"/>
    <w:qFormat/>
    <w:rsid w:val="00184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zamas-cgb.ru/images/stories/disp-2805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zamas-cgb.ru/images/stories/disp1-04032019.pdf" TargetMode="External"/><Relationship Id="rId5" Type="http://schemas.openxmlformats.org/officeDocument/2006/relationships/hyperlink" Target="http://arzamas-cgb.ru/images/stories/disp1-0807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2019-08-22T09:54:00Z</dcterms:created>
  <dcterms:modified xsi:type="dcterms:W3CDTF">2019-08-22T09:54:00Z</dcterms:modified>
</cp:coreProperties>
</file>