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F603" w14:textId="77777777" w:rsidR="00EC0FAF" w:rsidRPr="00EC0FAF" w:rsidRDefault="00EC0FAF" w:rsidP="00EC0FAF">
      <w:pPr>
        <w:shd w:val="clear" w:color="auto" w:fill="F4F6F7"/>
        <w:spacing w:before="158" w:after="0" w:line="240" w:lineRule="auto"/>
        <w:ind w:firstLine="375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Times New Roman" w:eastAsia="Times New Roman" w:hAnsi="Times New Roman" w:cs="Times New Roman"/>
          <w:noProof/>
          <w:color w:val="222222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D17B192" wp14:editId="3103F78C">
                <wp:extent cx="5219700" cy="2533650"/>
                <wp:effectExtent l="0" t="0" r="0" b="0"/>
                <wp:docPr id="2" name="AutoShape 2" descr="http://egpol.ru/images/sampledata/548x266xzapis.png.pagespeed.ic.gkEG2KaFkB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97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5E33E" id="AutoShape 2" o:spid="_x0000_s1026" alt="http://egpol.ru/images/sampledata/548x266xzapis.png.pagespeed.ic.gkEG2KaFkB.webp" style="width:411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     В ГБУЗ РК «</w:t>
      </w:r>
      <w:proofErr w:type="gramStart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ЭГП»  запись</w:t>
      </w:r>
      <w:proofErr w:type="gramEnd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пациентов к врачам-терапевтам участковым, врачам-педиатрам участковым, а также к узким специалистам (кроме врача-кардиолога, врача-гастроэнтеролога) осуществляется :</w:t>
      </w:r>
    </w:p>
    <w:p w14:paraId="246E9D98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 xml:space="preserve">1). По телефону нашего </w:t>
      </w:r>
      <w:proofErr w:type="spellStart"/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>CCall</w:t>
      </w:r>
      <w:proofErr w:type="spellEnd"/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>-центра: 400-266</w:t>
      </w:r>
    </w:p>
    <w:p w14:paraId="42A09527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 xml:space="preserve">2). По единому бесплатному номеру контакт </w:t>
      </w:r>
      <w:proofErr w:type="gramStart"/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>центра:  8</w:t>
      </w:r>
      <w:proofErr w:type="gramEnd"/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>-800-550-0000</w:t>
      </w:r>
    </w:p>
    <w:p w14:paraId="2586D734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При обращении по единому номеру процесс записи к врачу состоит из следующих шагов:</w:t>
      </w:r>
    </w:p>
    <w:p w14:paraId="40FABE28" w14:textId="77777777" w:rsidR="00EC0FAF" w:rsidRPr="00EC0FAF" w:rsidRDefault="00EC0FAF" w:rsidP="00EC0FAF">
      <w:pPr>
        <w:shd w:val="clear" w:color="auto" w:fill="F4F6F7"/>
        <w:spacing w:before="158" w:after="158" w:line="240" w:lineRule="auto"/>
        <w:jc w:val="both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i/>
          <w:iCs/>
          <w:color w:val="222222"/>
          <w:sz w:val="29"/>
          <w:szCs w:val="29"/>
          <w:lang w:eastAsia="ru-RU"/>
        </w:rPr>
        <w:t>- пациент называет специалисту контакт центра необходимое лечебно-профилактическое учреждение, специалиста и желаемое время приема;</w:t>
      </w:r>
    </w:p>
    <w:p w14:paraId="6E5DDD52" w14:textId="77777777" w:rsidR="00EC0FAF" w:rsidRPr="00EC0FAF" w:rsidRDefault="00EC0FAF" w:rsidP="00EC0FAF">
      <w:pPr>
        <w:shd w:val="clear" w:color="auto" w:fill="F4F6F7"/>
        <w:spacing w:before="158" w:after="158" w:line="240" w:lineRule="auto"/>
        <w:jc w:val="both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i/>
          <w:iCs/>
          <w:color w:val="222222"/>
          <w:sz w:val="29"/>
          <w:szCs w:val="29"/>
          <w:lang w:eastAsia="ru-RU"/>
        </w:rPr>
        <w:t>- оператор контакт центра записывает фамилию, имя, отчество пациента, его СНИЛС (страховой номер индивидуального лицевого счета гражданина в системе обязательного пенсионного страхования) пациента и номер телефона и регистрирует человека с Федерального сервиса предоставления услуг;</w:t>
      </w:r>
    </w:p>
    <w:p w14:paraId="220075FF" w14:textId="77777777" w:rsidR="00EC0FAF" w:rsidRPr="00EC0FAF" w:rsidRDefault="00EC0FAF" w:rsidP="00EC0FAF">
      <w:pPr>
        <w:shd w:val="clear" w:color="auto" w:fill="F4F6F7"/>
        <w:spacing w:before="158" w:after="158" w:line="240" w:lineRule="auto"/>
        <w:jc w:val="both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i/>
          <w:iCs/>
          <w:color w:val="222222"/>
          <w:sz w:val="29"/>
          <w:szCs w:val="29"/>
          <w:lang w:eastAsia="ru-RU"/>
        </w:rPr>
        <w:t>- оператор обозначает пациенту информацию о дате и времени приема. «Талончик» на приём можно забрать в регистратуре. При необходимости его можно получить по электронной почте.</w:t>
      </w:r>
    </w:p>
    <w:p w14:paraId="06BB7E00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>3). Через ЕПГУ (единый портал государственных услуг): </w:t>
      </w:r>
      <w:hyperlink r:id="rId4" w:history="1">
        <w:r w:rsidRPr="00EC0FAF">
          <w:rPr>
            <w:rFonts w:ascii="Helvetica" w:eastAsia="Times New Roman" w:hAnsi="Helvetica" w:cs="Helvetica"/>
            <w:b/>
            <w:bCs/>
            <w:color w:val="008CBA"/>
            <w:sz w:val="29"/>
            <w:szCs w:val="29"/>
            <w:u w:val="single"/>
            <w:lang w:eastAsia="ru-RU"/>
          </w:rPr>
          <w:t>http://www.gosuslugi.ru</w:t>
        </w:r>
      </w:hyperlink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>. </w:t>
      </w:r>
    </w:p>
    <w:p w14:paraId="61DD689D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С подробной инструкцией по записи через ЕПГУ, Вы можете ознакомится </w:t>
      </w:r>
      <w:hyperlink r:id="rId5" w:history="1">
        <w:r w:rsidRPr="00EC0FAF">
          <w:rPr>
            <w:rFonts w:ascii="Helvetica" w:eastAsia="Times New Roman" w:hAnsi="Helvetica" w:cs="Helvetica"/>
            <w:b/>
            <w:bCs/>
            <w:color w:val="008CBA"/>
            <w:sz w:val="29"/>
            <w:szCs w:val="29"/>
            <w:u w:val="single"/>
            <w:lang w:eastAsia="ru-RU"/>
          </w:rPr>
          <w:t>ЗДЕСЬ.</w:t>
        </w:r>
      </w:hyperlink>
    </w:p>
    <w:p w14:paraId="06034C18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>4). При личном обращении в регистратуру</w:t>
      </w:r>
    </w:p>
    <w:p w14:paraId="478AEE43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b/>
          <w:bCs/>
          <w:i/>
          <w:iCs/>
          <w:color w:val="222222"/>
          <w:sz w:val="29"/>
          <w:szCs w:val="29"/>
          <w:lang w:eastAsia="ru-RU"/>
        </w:rPr>
        <w:t>- Телефоны регистратуры для взрослого населения: 63-82-01</w:t>
      </w:r>
    </w:p>
    <w:p w14:paraId="37E36D5C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b/>
          <w:bCs/>
          <w:i/>
          <w:iCs/>
          <w:color w:val="222222"/>
          <w:sz w:val="29"/>
          <w:szCs w:val="29"/>
          <w:lang w:eastAsia="ru-RU"/>
        </w:rPr>
        <w:lastRenderedPageBreak/>
        <w:t xml:space="preserve">- вызов врача на </w:t>
      </w:r>
      <w:proofErr w:type="gramStart"/>
      <w:r w:rsidRPr="00EC0FAF">
        <w:rPr>
          <w:rFonts w:ascii="Helvetica" w:eastAsia="Times New Roman" w:hAnsi="Helvetica" w:cs="Helvetica"/>
          <w:b/>
          <w:bCs/>
          <w:i/>
          <w:iCs/>
          <w:color w:val="222222"/>
          <w:sz w:val="29"/>
          <w:szCs w:val="29"/>
          <w:lang w:eastAsia="ru-RU"/>
        </w:rPr>
        <w:t>дом(</w:t>
      </w:r>
      <w:proofErr w:type="gramEnd"/>
      <w:r w:rsidRPr="00EC0FAF">
        <w:rPr>
          <w:rFonts w:ascii="Helvetica" w:eastAsia="Times New Roman" w:hAnsi="Helvetica" w:cs="Helvetica"/>
          <w:b/>
          <w:bCs/>
          <w:i/>
          <w:iCs/>
          <w:color w:val="222222"/>
          <w:sz w:val="29"/>
          <w:szCs w:val="29"/>
          <w:lang w:eastAsia="ru-RU"/>
        </w:rPr>
        <w:t>взрослое население): 400-266</w:t>
      </w:r>
    </w:p>
    <w:p w14:paraId="2AE74747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b/>
          <w:bCs/>
          <w:i/>
          <w:iCs/>
          <w:color w:val="222222"/>
          <w:sz w:val="29"/>
          <w:szCs w:val="29"/>
          <w:lang w:eastAsia="ru-RU"/>
        </w:rPr>
        <w:t>- Телефоны регистратуры для детского населения: 62-66-70</w:t>
      </w:r>
    </w:p>
    <w:p w14:paraId="05A63501" w14:textId="77777777" w:rsidR="00EC0FAF" w:rsidRPr="00EC0FAF" w:rsidRDefault="00EC0FAF" w:rsidP="00EC0FAF">
      <w:pPr>
        <w:shd w:val="clear" w:color="auto" w:fill="F4F6F7"/>
        <w:spacing w:before="158" w:after="158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b/>
          <w:bCs/>
          <w:i/>
          <w:iCs/>
          <w:color w:val="222222"/>
          <w:sz w:val="29"/>
          <w:szCs w:val="29"/>
          <w:lang w:eastAsia="ru-RU"/>
        </w:rPr>
        <w:t xml:space="preserve">- вызов врача на </w:t>
      </w:r>
      <w:proofErr w:type="gramStart"/>
      <w:r w:rsidRPr="00EC0FAF">
        <w:rPr>
          <w:rFonts w:ascii="Helvetica" w:eastAsia="Times New Roman" w:hAnsi="Helvetica" w:cs="Helvetica"/>
          <w:b/>
          <w:bCs/>
          <w:i/>
          <w:iCs/>
          <w:color w:val="222222"/>
          <w:sz w:val="29"/>
          <w:szCs w:val="29"/>
          <w:lang w:eastAsia="ru-RU"/>
        </w:rPr>
        <w:t>дом(</w:t>
      </w:r>
      <w:proofErr w:type="gramEnd"/>
      <w:r w:rsidRPr="00EC0FAF">
        <w:rPr>
          <w:rFonts w:ascii="Helvetica" w:eastAsia="Times New Roman" w:hAnsi="Helvetica" w:cs="Helvetica"/>
          <w:b/>
          <w:bCs/>
          <w:i/>
          <w:iCs/>
          <w:color w:val="222222"/>
          <w:sz w:val="29"/>
          <w:szCs w:val="29"/>
          <w:lang w:eastAsia="ru-RU"/>
        </w:rPr>
        <w:t>детское население): 62-67-49, 55-03-96</w:t>
      </w:r>
      <w:r w:rsidRPr="00EC0FAF">
        <w:rPr>
          <w:rFonts w:ascii="Helvetica" w:eastAsia="Times New Roman" w:hAnsi="Helvetica" w:cs="Helvetica"/>
          <w:b/>
          <w:bCs/>
          <w:color w:val="222222"/>
          <w:sz w:val="29"/>
          <w:szCs w:val="29"/>
          <w:lang w:eastAsia="ru-RU"/>
        </w:rPr>
        <w:t> </w:t>
      </w:r>
    </w:p>
    <w:p w14:paraId="544C2268" w14:textId="77777777" w:rsidR="00EC0FAF" w:rsidRPr="00EC0FAF" w:rsidRDefault="00EC0FAF" w:rsidP="00EC0FAF">
      <w:pPr>
        <w:shd w:val="clear" w:color="auto" w:fill="F4F6F7"/>
        <w:spacing w:before="158" w:after="158" w:line="240" w:lineRule="auto"/>
        <w:ind w:firstLine="375"/>
        <w:jc w:val="both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Прием пациентов, нуждающихся в оказании </w:t>
      </w:r>
      <w:proofErr w:type="gramStart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неотложной медицинской помощи</w:t>
      </w:r>
      <w:proofErr w:type="gramEnd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осуществляется без предварительной записи в день обращения. Пациент о своем состоянии обязательно должен информировать медицинского </w:t>
      </w:r>
      <w:proofErr w:type="gramStart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регистратора,  а</w:t>
      </w:r>
      <w:proofErr w:type="gramEnd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также медицинского работника, осуществляющего прием. </w:t>
      </w:r>
    </w:p>
    <w:p w14:paraId="07D0CEB8" w14:textId="77777777" w:rsidR="00EC0FAF" w:rsidRPr="00EC0FAF" w:rsidRDefault="00EC0FAF" w:rsidP="00EC0FAF">
      <w:pPr>
        <w:shd w:val="clear" w:color="auto" w:fill="F4F6F7"/>
        <w:spacing w:before="158" w:after="158" w:line="240" w:lineRule="auto"/>
        <w:ind w:firstLine="375"/>
        <w:jc w:val="both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Для определения состояния здоровья, требующего оказания неотложной медицинской помощи, пациент из регистратуры, в случае занятости соответствующего специалиста либо при его отсутствии, может быть направлен в кабинет неотложной медицинской помощи №300, образованный в составе терапевтического отделения №2 ГБУЗ РК «ЭГП».</w:t>
      </w:r>
    </w:p>
    <w:p w14:paraId="709721A3" w14:textId="77777777" w:rsidR="00EC0FAF" w:rsidRPr="00EC0FAF" w:rsidRDefault="00EC0FAF" w:rsidP="00EC0FAF">
      <w:pPr>
        <w:shd w:val="clear" w:color="auto" w:fill="F4F6F7"/>
        <w:spacing w:before="158" w:after="158" w:line="240" w:lineRule="auto"/>
        <w:ind w:firstLine="375"/>
        <w:jc w:val="both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При возникновении вопросов, касающихся работы врачей-терапевтов и кабинета №300, пациент может обратиться к заведующим терапевтическими отделениями </w:t>
      </w:r>
      <w:proofErr w:type="spellStart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Холоповой</w:t>
      </w:r>
      <w:proofErr w:type="spellEnd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 Ольге </w:t>
      </w:r>
      <w:bookmarkStart w:id="0" w:name="_GoBack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Александровне, Васильеву Константину Михайловичу в часы </w:t>
      </w:r>
      <w:bookmarkEnd w:id="0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 xml:space="preserve">личного приема (еженедельно, с понедельника по пятницу с 12.00 до 15.00 </w:t>
      </w:r>
      <w:proofErr w:type="spellStart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каб</w:t>
      </w:r>
      <w:proofErr w:type="spellEnd"/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. №600, 601)</w:t>
      </w:r>
    </w:p>
    <w:p w14:paraId="70F25E47" w14:textId="77777777" w:rsidR="00EC0FAF" w:rsidRPr="00EC0FAF" w:rsidRDefault="00EC0FAF" w:rsidP="00EC0FAF">
      <w:pPr>
        <w:shd w:val="clear" w:color="auto" w:fill="F4F6F7"/>
        <w:spacing w:before="158" w:after="158" w:line="240" w:lineRule="auto"/>
        <w:ind w:firstLine="375"/>
        <w:jc w:val="both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</w:pP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Инвалиды </w:t>
      </w:r>
      <w:r w:rsidRPr="00EC0FAF">
        <w:rPr>
          <w:rFonts w:ascii="Helvetica" w:eastAsia="Times New Roman" w:hAnsi="Helvetica" w:cs="Helvetica"/>
          <w:color w:val="222222"/>
          <w:sz w:val="29"/>
          <w:szCs w:val="29"/>
          <w:lang w:val="en-US" w:eastAsia="ru-RU"/>
        </w:rPr>
        <w:t>I</w:t>
      </w: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, </w:t>
      </w:r>
      <w:r w:rsidRPr="00EC0FAF">
        <w:rPr>
          <w:rFonts w:ascii="Helvetica" w:eastAsia="Times New Roman" w:hAnsi="Helvetica" w:cs="Helvetica"/>
          <w:color w:val="222222"/>
          <w:sz w:val="29"/>
          <w:szCs w:val="29"/>
          <w:lang w:val="en-US" w:eastAsia="ru-RU"/>
        </w:rPr>
        <w:t>II</w:t>
      </w:r>
      <w:r w:rsidRPr="00EC0FAF">
        <w:rPr>
          <w:rFonts w:ascii="Helvetica" w:eastAsia="Times New Roman" w:hAnsi="Helvetica" w:cs="Helvetica"/>
          <w:color w:val="222222"/>
          <w:sz w:val="29"/>
          <w:szCs w:val="29"/>
          <w:lang w:eastAsia="ru-RU"/>
        </w:rPr>
        <w:t> группы, участники ВОВ и приравненные к ним категории граждан принимаются специалистами ГБУЗ РК «ЭГП» при предъявлении соответствующего документа (удостоверения) вне очереди. Кроме того, такие граждане имеют возможность произвести предварительную запись к нужному им врачу на дату и время, которые являются для них удобными, но в часы работы Учреждения и в соответствии с установленным расписанием приема врачей. </w:t>
      </w:r>
    </w:p>
    <w:p w14:paraId="59C774D0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7F"/>
    <w:rsid w:val="00117239"/>
    <w:rsid w:val="00870087"/>
    <w:rsid w:val="00D84D7F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C875-C003-4B50-8EF7-4A9C11A1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pol.ru/patsientam/zapis-na-priem-cherez-epgu" TargetMode="External"/><Relationship Id="rId4" Type="http://schemas.openxmlformats.org/officeDocument/2006/relationships/hyperlink" Target="http://spectrum:8fUXy5M4cz@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2019-07-30T12:22:00Z</dcterms:created>
  <dcterms:modified xsi:type="dcterms:W3CDTF">2019-07-30T12:22:00Z</dcterms:modified>
</cp:coreProperties>
</file>