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0F" w:rsidRPr="002F3D0F" w:rsidRDefault="002F3D0F" w:rsidP="002F3D0F">
      <w:pPr>
        <w:spacing w:after="0" w:line="540" w:lineRule="atLeast"/>
        <w:outlineLvl w:val="2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2F3D0F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t>Терапевтическое отделение №1</w:t>
      </w:r>
    </w:p>
    <w:p w:rsidR="002F3D0F" w:rsidRPr="002F3D0F" w:rsidRDefault="002F3D0F" w:rsidP="002F3D0F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bookmarkStart w:id="0" w:name="_GoBack"/>
      <w:r w:rsidRPr="002F3D0F">
        <w:rPr>
          <w:rFonts w:ascii="Helvetica" w:eastAsia="Times New Roman" w:hAnsi="Helvetica" w:cs="Helvetica"/>
          <w:sz w:val="27"/>
          <w:szCs w:val="27"/>
          <w:lang w:eastAsia="ru-RU"/>
        </w:rPr>
        <w:t>Телефон регистратуры: +7 (383) 271-58-75</w:t>
      </w:r>
    </w:p>
    <w:p w:rsidR="002F3D0F" w:rsidRPr="002F3D0F" w:rsidRDefault="002F3D0F" w:rsidP="002F3D0F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F3D0F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Единая регистратура НСО</w:t>
      </w:r>
      <w:r w:rsidRPr="002F3D0F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2F3D0F" w:rsidRPr="002F3D0F" w:rsidRDefault="002F3D0F" w:rsidP="002F3D0F">
      <w:pPr>
        <w:numPr>
          <w:ilvl w:val="0"/>
          <w:numId w:val="1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F3D0F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Выбрать врача</w:t>
      </w:r>
    </w:p>
    <w:p w:rsidR="002F3D0F" w:rsidRPr="002F3D0F" w:rsidRDefault="002F3D0F" w:rsidP="002F3D0F">
      <w:pPr>
        <w:numPr>
          <w:ilvl w:val="0"/>
          <w:numId w:val="1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F3D0F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Выбрать нашу поликлинику ГБУЗ НСО Новосибирская областная стоматологическая поликлиника</w:t>
      </w:r>
    </w:p>
    <w:p w:rsidR="002F3D0F" w:rsidRPr="002F3D0F" w:rsidRDefault="002F3D0F" w:rsidP="002F3D0F">
      <w:pPr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F3D0F">
        <w:rPr>
          <w:rFonts w:ascii="Helvetica" w:eastAsia="Times New Roman" w:hAnsi="Helvetica" w:cs="Helvetica"/>
          <w:sz w:val="36"/>
          <w:szCs w:val="36"/>
          <w:lang w:eastAsia="ru-RU"/>
        </w:rPr>
        <w:t>Телефон Единой регистратуры:</w:t>
      </w:r>
      <w:r w:rsidRPr="002F3D0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2F3D0F">
        <w:rPr>
          <w:rFonts w:ascii="Helvetica" w:eastAsia="Times New Roman" w:hAnsi="Helvetica" w:cs="Helvetica"/>
          <w:b/>
          <w:bCs/>
          <w:sz w:val="48"/>
          <w:szCs w:val="48"/>
          <w:lang w:eastAsia="ru-RU"/>
        </w:rPr>
        <w:t>124</w:t>
      </w:r>
    </w:p>
    <w:p w:rsidR="002F3D0F" w:rsidRPr="002F3D0F" w:rsidRDefault="002F3D0F" w:rsidP="002F3D0F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5" w:tgtFrame="_blank" w:history="1">
        <w:r w:rsidRPr="002F3D0F">
          <w:rPr>
            <w:rFonts w:ascii="Helvetica" w:eastAsia="Times New Roman" w:hAnsi="Helvetica" w:cs="Helvetica"/>
            <w:sz w:val="21"/>
            <w:szCs w:val="21"/>
            <w:bdr w:val="single" w:sz="6" w:space="5" w:color="4CAE4C" w:frame="1"/>
            <w:shd w:val="clear" w:color="auto" w:fill="5CB85C"/>
            <w:lang w:eastAsia="ru-RU"/>
          </w:rPr>
          <w:t> Запись на приём через Единую регистрацию</w:t>
        </w:r>
      </w:hyperlink>
    </w:p>
    <w:p w:rsidR="002F3D0F" w:rsidRPr="002F3D0F" w:rsidRDefault="002F3D0F" w:rsidP="002F3D0F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F3D0F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 xml:space="preserve">Портал </w:t>
      </w:r>
      <w:proofErr w:type="spellStart"/>
      <w:r w:rsidRPr="002F3D0F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Госуслуги</w:t>
      </w:r>
      <w:proofErr w:type="spellEnd"/>
      <w:r w:rsidRPr="002F3D0F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2F3D0F" w:rsidRPr="002F3D0F" w:rsidRDefault="002F3D0F" w:rsidP="002F3D0F">
      <w:pPr>
        <w:numPr>
          <w:ilvl w:val="0"/>
          <w:numId w:val="2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F3D0F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В каталоге услуг выбрать "Здравоохранение, медицина, лекарства"</w:t>
      </w:r>
    </w:p>
    <w:p w:rsidR="002F3D0F" w:rsidRPr="002F3D0F" w:rsidRDefault="002F3D0F" w:rsidP="002F3D0F">
      <w:pPr>
        <w:numPr>
          <w:ilvl w:val="0"/>
          <w:numId w:val="2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F3D0F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Выбрать запись к врачу</w:t>
      </w:r>
    </w:p>
    <w:p w:rsidR="002F3D0F" w:rsidRPr="002F3D0F" w:rsidRDefault="002F3D0F" w:rsidP="002F3D0F">
      <w:pPr>
        <w:numPr>
          <w:ilvl w:val="0"/>
          <w:numId w:val="2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F3D0F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Получить услугу</w:t>
      </w:r>
    </w:p>
    <w:p w:rsidR="002F3D0F" w:rsidRPr="002F3D0F" w:rsidRDefault="002F3D0F" w:rsidP="002F3D0F">
      <w:pPr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F3D0F">
        <w:rPr>
          <w:rFonts w:ascii="Helvetica" w:eastAsia="Times New Roman" w:hAnsi="Helvetica" w:cs="Helvetica"/>
          <w:sz w:val="36"/>
          <w:szCs w:val="36"/>
          <w:lang w:eastAsia="ru-RU"/>
        </w:rPr>
        <w:t xml:space="preserve">Телефон портала </w:t>
      </w:r>
      <w:proofErr w:type="spellStart"/>
      <w:r w:rsidRPr="002F3D0F">
        <w:rPr>
          <w:rFonts w:ascii="Helvetica" w:eastAsia="Times New Roman" w:hAnsi="Helvetica" w:cs="Helvetica"/>
          <w:sz w:val="36"/>
          <w:szCs w:val="36"/>
          <w:lang w:eastAsia="ru-RU"/>
        </w:rPr>
        <w:t>Госуслуги</w:t>
      </w:r>
      <w:proofErr w:type="spellEnd"/>
      <w:r w:rsidRPr="002F3D0F">
        <w:rPr>
          <w:rFonts w:ascii="Helvetica" w:eastAsia="Times New Roman" w:hAnsi="Helvetica" w:cs="Helvetica"/>
          <w:sz w:val="36"/>
          <w:szCs w:val="36"/>
          <w:lang w:eastAsia="ru-RU"/>
        </w:rPr>
        <w:t>:</w:t>
      </w:r>
      <w:r w:rsidRPr="002F3D0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2F3D0F">
        <w:rPr>
          <w:rFonts w:ascii="Helvetica" w:eastAsia="Times New Roman" w:hAnsi="Helvetica" w:cs="Helvetica"/>
          <w:b/>
          <w:bCs/>
          <w:sz w:val="48"/>
          <w:szCs w:val="48"/>
          <w:lang w:eastAsia="ru-RU"/>
        </w:rPr>
        <w:t>115</w:t>
      </w:r>
    </w:p>
    <w:p w:rsidR="002F3D0F" w:rsidRPr="002F3D0F" w:rsidRDefault="002F3D0F" w:rsidP="002F3D0F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6" w:tgtFrame="_blank" w:history="1">
        <w:r w:rsidRPr="002F3D0F">
          <w:rPr>
            <w:rFonts w:ascii="Helvetica" w:eastAsia="Times New Roman" w:hAnsi="Helvetica" w:cs="Helvetica"/>
            <w:sz w:val="21"/>
            <w:szCs w:val="21"/>
            <w:bdr w:val="single" w:sz="6" w:space="5" w:color="4CAE4C" w:frame="1"/>
            <w:shd w:val="clear" w:color="auto" w:fill="5CB85C"/>
            <w:lang w:eastAsia="ru-RU"/>
          </w:rPr>
          <w:t> Запись на приём через Единую регистрацию</w:t>
        </w:r>
      </w:hyperlink>
    </w:p>
    <w:p w:rsidR="002F3D0F" w:rsidRPr="002F3D0F" w:rsidRDefault="002F3D0F" w:rsidP="002F3D0F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F3D0F"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 wp14:anchorId="5F00F1CB" wp14:editId="4248D728">
            <wp:extent cx="4762500" cy="3619500"/>
            <wp:effectExtent l="0" t="0" r="0" b="0"/>
            <wp:docPr id="5" name="Рисунок 5" descr="http://oguznosp.ru/images/otd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uznosp.ru/images/otdter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0F" w:rsidRPr="002F3D0F" w:rsidRDefault="002F3D0F" w:rsidP="002F3D0F">
      <w:pPr>
        <w:spacing w:before="360" w:after="180" w:line="360" w:lineRule="atLeast"/>
        <w:outlineLvl w:val="2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2F3D0F">
        <w:rPr>
          <w:rFonts w:ascii="Helvetica" w:eastAsia="Times New Roman" w:hAnsi="Helvetica" w:cs="Helvetica"/>
          <w:sz w:val="36"/>
          <w:szCs w:val="36"/>
          <w:lang w:eastAsia="ru-RU"/>
        </w:rPr>
        <w:t>О нас</w:t>
      </w:r>
    </w:p>
    <w:p w:rsidR="002F3D0F" w:rsidRPr="002F3D0F" w:rsidRDefault="002F3D0F" w:rsidP="002F3D0F">
      <w:pPr>
        <w:spacing w:after="18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F3D0F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Заведующая 1-ым терапевтическим отделением </w:t>
      </w:r>
      <w:proofErr w:type="spellStart"/>
      <w:r w:rsidRPr="002F3D0F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Тренькина</w:t>
      </w:r>
      <w:proofErr w:type="spellEnd"/>
      <w:r w:rsidRPr="002F3D0F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Оксана Германовна врач стоматолог-терапевт высшей квалификационной категории</w:t>
      </w:r>
    </w:p>
    <w:p w:rsidR="002F3D0F" w:rsidRPr="002F3D0F" w:rsidRDefault="002F3D0F" w:rsidP="002F3D0F">
      <w:pPr>
        <w:spacing w:after="18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2F3D0F">
        <w:rPr>
          <w:rFonts w:ascii="Helvetica" w:eastAsia="Times New Roman" w:hAnsi="Helvetica" w:cs="Helvetica"/>
          <w:sz w:val="21"/>
          <w:szCs w:val="21"/>
          <w:lang w:eastAsia="ru-RU"/>
        </w:rPr>
        <w:t>Качествненнное</w:t>
      </w:r>
      <w:proofErr w:type="spellEnd"/>
      <w:r w:rsidRPr="002F3D0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бесплатное лечение по программе ОМС оказывается жителям зоны обслуживания (по приказу МЗ НСО). При желании пациенты могут </w:t>
      </w:r>
      <w:proofErr w:type="spellStart"/>
      <w:r w:rsidRPr="002F3D0F">
        <w:rPr>
          <w:rFonts w:ascii="Helvetica" w:eastAsia="Times New Roman" w:hAnsi="Helvetica" w:cs="Helvetica"/>
          <w:sz w:val="21"/>
          <w:szCs w:val="21"/>
          <w:lang w:eastAsia="ru-RU"/>
        </w:rPr>
        <w:t>воспользоватся</w:t>
      </w:r>
      <w:proofErr w:type="spellEnd"/>
      <w:r w:rsidRPr="002F3D0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платными услугами.</w:t>
      </w:r>
    </w:p>
    <w:p w:rsidR="002F3D0F" w:rsidRPr="002F3D0F" w:rsidRDefault="002F3D0F" w:rsidP="002F3D0F">
      <w:pPr>
        <w:numPr>
          <w:ilvl w:val="0"/>
          <w:numId w:val="3"/>
        </w:numPr>
        <w:pBdr>
          <w:bottom w:val="single" w:sz="6" w:space="0" w:color="DDDDDD"/>
        </w:pBdr>
        <w:spacing w:before="100" w:beforeAutospacing="1" w:after="0" w:line="240" w:lineRule="auto"/>
        <w:ind w:left="-40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8" w:anchor="sppb-tab1-1" w:history="1">
        <w:r w:rsidRPr="002F3D0F">
          <w:rPr>
            <w:rFonts w:ascii="Helvetica" w:eastAsia="Times New Roman" w:hAnsi="Helvetica" w:cs="Helvetica"/>
            <w:sz w:val="21"/>
            <w:szCs w:val="21"/>
            <w:bdr w:val="single" w:sz="6" w:space="8" w:color="auto" w:frame="1"/>
            <w:shd w:val="clear" w:color="auto" w:fill="FFFFFF"/>
            <w:lang w:eastAsia="ru-RU"/>
          </w:rPr>
          <w:t>Список платных услуг</w:t>
        </w:r>
      </w:hyperlink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2F3D0F" w:rsidRPr="002F3D0F" w:rsidTr="002F3D0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D0F" w:rsidRPr="002F3D0F" w:rsidRDefault="002F3D0F" w:rsidP="002F3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анестетики;</w:t>
            </w:r>
          </w:p>
          <w:p w:rsidR="002F3D0F" w:rsidRPr="002F3D0F" w:rsidRDefault="002F3D0F" w:rsidP="002F3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анкерные штифты для восстановления разрушенных зубов;</w:t>
            </w:r>
          </w:p>
          <w:p w:rsidR="002F3D0F" w:rsidRPr="002F3D0F" w:rsidRDefault="002F3D0F" w:rsidP="002F3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гуттаперчевые штифты для пломбирования корневых каналов;</w:t>
            </w:r>
          </w:p>
          <w:p w:rsidR="002F3D0F" w:rsidRPr="002F3D0F" w:rsidRDefault="002F3D0F" w:rsidP="002F3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пломбировочные материалы химического отверждения.</w:t>
            </w:r>
          </w:p>
          <w:p w:rsidR="002F3D0F" w:rsidRPr="002F3D0F" w:rsidRDefault="002F3D0F" w:rsidP="002F3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и пломбирование зубов материалами последнего поколения;</w:t>
            </w:r>
          </w:p>
          <w:p w:rsidR="002F3D0F" w:rsidRPr="002F3D0F" w:rsidRDefault="002F3D0F" w:rsidP="002F3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и функциональная реставрация зубов с высокой степенью разрушения;</w:t>
            </w:r>
          </w:p>
          <w:p w:rsidR="002F3D0F" w:rsidRPr="002F3D0F" w:rsidRDefault="002F3D0F" w:rsidP="002F3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начальных форм кариеса и повышенной чувствительности зубов методом глубокого фторирования;</w:t>
            </w:r>
          </w:p>
          <w:p w:rsidR="002F3D0F" w:rsidRPr="002F3D0F" w:rsidRDefault="002F3D0F" w:rsidP="002F3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измененных в цвете зубов с помощью </w:t>
            </w:r>
            <w:proofErr w:type="spellStart"/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внутрикоронкового</w:t>
            </w:r>
            <w:proofErr w:type="spellEnd"/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отбеливания с использованием системы "</w:t>
            </w:r>
            <w:proofErr w:type="spellStart"/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Oploescene</w:t>
            </w:r>
            <w:proofErr w:type="spellEnd"/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  <w:p w:rsidR="002F3D0F" w:rsidRPr="002F3D0F" w:rsidRDefault="002F3D0F" w:rsidP="002F3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"проблемных зубов", подлежащих удалению, методом </w:t>
            </w:r>
            <w:proofErr w:type="spellStart"/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депофореза</w:t>
            </w:r>
            <w:proofErr w:type="spellEnd"/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гидроокиси меди-кальция;</w:t>
            </w:r>
          </w:p>
          <w:p w:rsidR="002F3D0F" w:rsidRPr="002F3D0F" w:rsidRDefault="002F3D0F" w:rsidP="002F3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эндодонтическое лечение с применением современных материалов и технологий </w:t>
            </w:r>
            <w:proofErr w:type="spellStart"/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обтурации</w:t>
            </w:r>
            <w:proofErr w:type="spellEnd"/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корневых каналов твердеющими пастами, холодной и разогретой гуттаперчи, ультразвуковая обработка каналов;</w:t>
            </w:r>
          </w:p>
          <w:p w:rsidR="002F3D0F" w:rsidRPr="002F3D0F" w:rsidRDefault="002F3D0F" w:rsidP="002F3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значительных деструктивных процессах в </w:t>
            </w:r>
            <w:proofErr w:type="spellStart"/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околозубных</w:t>
            </w:r>
            <w:proofErr w:type="spellEnd"/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тканях применяются </w:t>
            </w:r>
            <w:proofErr w:type="spellStart"/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остеопластические</w:t>
            </w:r>
            <w:proofErr w:type="spellEnd"/>
            <w:r w:rsidRPr="002F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D0F" w:rsidRPr="002F3D0F" w:rsidRDefault="002F3D0F" w:rsidP="002F3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3D0F" w:rsidRPr="002F3D0F" w:rsidRDefault="002F3D0F" w:rsidP="002F3D0F">
      <w:pPr>
        <w:spacing w:line="540" w:lineRule="atLeast"/>
        <w:outlineLvl w:val="1"/>
        <w:rPr>
          <w:rFonts w:ascii="Helvetica" w:eastAsia="Times New Roman" w:hAnsi="Helvetica" w:cs="Helvetica"/>
          <w:sz w:val="54"/>
          <w:szCs w:val="54"/>
          <w:lang w:eastAsia="ru-RU"/>
        </w:rPr>
      </w:pPr>
      <w:r w:rsidRPr="002F3D0F">
        <w:rPr>
          <w:rFonts w:ascii="Helvetica" w:eastAsia="Times New Roman" w:hAnsi="Helvetica" w:cs="Helvetica"/>
          <w:sz w:val="54"/>
          <w:szCs w:val="54"/>
          <w:lang w:eastAsia="ru-RU"/>
        </w:rPr>
        <w:t>Наши технологии</w:t>
      </w:r>
    </w:p>
    <w:p w:rsidR="002F3D0F" w:rsidRPr="002F3D0F" w:rsidRDefault="002F3D0F" w:rsidP="002F3D0F">
      <w:pPr>
        <w:numPr>
          <w:ilvl w:val="0"/>
          <w:numId w:val="5"/>
        </w:numPr>
        <w:pBdr>
          <w:top w:val="single" w:sz="36" w:space="0" w:color="EEEEEE"/>
          <w:left w:val="single" w:sz="36" w:space="0" w:color="EEEEEE"/>
          <w:bottom w:val="single" w:sz="36" w:space="0" w:color="EEEEEE"/>
          <w:right w:val="single" w:sz="36" w:space="0" w:color="EEEEEE"/>
        </w:pBdr>
        <w:spacing w:before="100" w:beforeAutospacing="1" w:after="516" w:line="240" w:lineRule="auto"/>
        <w:ind w:left="315"/>
        <w:jc w:val="both"/>
        <w:textAlignment w:val="top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F3D0F"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 wp14:anchorId="7F72EE46" wp14:editId="772BDDFA">
            <wp:extent cx="4762500" cy="3333750"/>
            <wp:effectExtent l="0" t="0" r="0" b="0"/>
            <wp:docPr id="4" name="Рисунок 4" descr="Машинная обработка каналов NoTi инстр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шинная обработка каналов NoTi инстр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0F" w:rsidRPr="002F3D0F" w:rsidRDefault="002F3D0F" w:rsidP="002F3D0F">
      <w:pPr>
        <w:pBdr>
          <w:top w:val="single" w:sz="36" w:space="0" w:color="EEEEEE"/>
          <w:left w:val="single" w:sz="36" w:space="0" w:color="EEEEEE"/>
          <w:bottom w:val="single" w:sz="36" w:space="0" w:color="EEEEEE"/>
          <w:right w:val="single" w:sz="36" w:space="0" w:color="EEEEEE"/>
        </w:pBdr>
        <w:spacing w:before="150" w:after="150" w:line="240" w:lineRule="auto"/>
        <w:ind w:left="315"/>
        <w:textAlignment w:val="top"/>
        <w:outlineLvl w:val="2"/>
        <w:rPr>
          <w:rFonts w:ascii="Helvetica" w:eastAsia="Times New Roman" w:hAnsi="Helvetica" w:cs="Helvetica"/>
          <w:sz w:val="30"/>
          <w:szCs w:val="30"/>
          <w:lang w:eastAsia="ru-RU"/>
        </w:rPr>
      </w:pPr>
      <w:hyperlink r:id="rId11" w:history="1">
        <w:r w:rsidRPr="002F3D0F">
          <w:rPr>
            <w:rFonts w:ascii="Helvetica" w:eastAsia="Times New Roman" w:hAnsi="Helvetica" w:cs="Helvetica"/>
            <w:sz w:val="24"/>
            <w:szCs w:val="24"/>
            <w:lang w:eastAsia="ru-RU"/>
          </w:rPr>
          <w:t xml:space="preserve">Машинная обработка каналов </w:t>
        </w:r>
        <w:proofErr w:type="spellStart"/>
        <w:r w:rsidRPr="002F3D0F">
          <w:rPr>
            <w:rFonts w:ascii="Helvetica" w:eastAsia="Times New Roman" w:hAnsi="Helvetica" w:cs="Helvetica"/>
            <w:sz w:val="24"/>
            <w:szCs w:val="24"/>
            <w:lang w:eastAsia="ru-RU"/>
          </w:rPr>
          <w:t>NoTi</w:t>
        </w:r>
        <w:proofErr w:type="spellEnd"/>
        <w:r w:rsidRPr="002F3D0F">
          <w:rPr>
            <w:rFonts w:ascii="Helvetica" w:eastAsia="Times New Roman" w:hAnsi="Helvetica" w:cs="Helvetica"/>
            <w:sz w:val="24"/>
            <w:szCs w:val="24"/>
            <w:lang w:eastAsia="ru-RU"/>
          </w:rPr>
          <w:t xml:space="preserve"> </w:t>
        </w:r>
        <w:proofErr w:type="spellStart"/>
        <w:r w:rsidRPr="002F3D0F">
          <w:rPr>
            <w:rFonts w:ascii="Helvetica" w:eastAsia="Times New Roman" w:hAnsi="Helvetica" w:cs="Helvetica"/>
            <w:sz w:val="24"/>
            <w:szCs w:val="24"/>
            <w:lang w:eastAsia="ru-RU"/>
          </w:rPr>
          <w:t>инстр</w:t>
        </w:r>
        <w:proofErr w:type="spellEnd"/>
        <w:r w:rsidRPr="002F3D0F">
          <w:rPr>
            <w:rFonts w:ascii="Helvetica" w:eastAsia="Times New Roman" w:hAnsi="Helvetica" w:cs="Helvetica"/>
            <w:sz w:val="24"/>
            <w:szCs w:val="24"/>
            <w:lang w:eastAsia="ru-RU"/>
          </w:rPr>
          <w:t>.</w:t>
        </w:r>
      </w:hyperlink>
    </w:p>
    <w:p w:rsidR="002F3D0F" w:rsidRPr="002F3D0F" w:rsidRDefault="002F3D0F" w:rsidP="002F3D0F">
      <w:pPr>
        <w:spacing w:after="0" w:line="240" w:lineRule="auto"/>
        <w:ind w:left="315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F3D0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2F3D0F" w:rsidRPr="002F3D0F" w:rsidRDefault="002F3D0F" w:rsidP="002F3D0F">
      <w:pPr>
        <w:numPr>
          <w:ilvl w:val="0"/>
          <w:numId w:val="5"/>
        </w:numPr>
        <w:pBdr>
          <w:top w:val="single" w:sz="36" w:space="0" w:color="EEEEEE"/>
          <w:left w:val="single" w:sz="36" w:space="0" w:color="EEEEEE"/>
          <w:bottom w:val="single" w:sz="36" w:space="0" w:color="EEEEEE"/>
          <w:right w:val="single" w:sz="36" w:space="0" w:color="EEEEEE"/>
        </w:pBdr>
        <w:spacing w:before="100" w:beforeAutospacing="1" w:after="516" w:line="240" w:lineRule="auto"/>
        <w:ind w:left="315"/>
        <w:jc w:val="both"/>
        <w:textAlignment w:val="top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F3D0F">
        <w:rPr>
          <w:rFonts w:ascii="Helvetica" w:eastAsia="Times New Roman" w:hAnsi="Helvetica" w:cs="Helvetica"/>
          <w:noProof/>
          <w:sz w:val="21"/>
          <w:szCs w:val="21"/>
          <w:lang w:eastAsia="ru-RU"/>
        </w:rPr>
        <w:lastRenderedPageBreak/>
        <w:drawing>
          <wp:inline distT="0" distB="0" distL="0" distR="0" wp14:anchorId="68EFA50C" wp14:editId="4C9BA67C">
            <wp:extent cx="4762500" cy="3333750"/>
            <wp:effectExtent l="0" t="0" r="0" b="0"/>
            <wp:docPr id="3" name="Рисунок 3" descr="Прозон для обрабатывания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зон для обрабатывания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0F" w:rsidRPr="002F3D0F" w:rsidRDefault="002F3D0F" w:rsidP="002F3D0F">
      <w:pPr>
        <w:pBdr>
          <w:top w:val="single" w:sz="36" w:space="0" w:color="EEEEEE"/>
          <w:left w:val="single" w:sz="36" w:space="0" w:color="EEEEEE"/>
          <w:bottom w:val="single" w:sz="36" w:space="0" w:color="EEEEEE"/>
          <w:right w:val="single" w:sz="36" w:space="0" w:color="EEEEEE"/>
        </w:pBdr>
        <w:spacing w:before="150" w:after="150" w:line="240" w:lineRule="auto"/>
        <w:ind w:left="315"/>
        <w:textAlignment w:val="top"/>
        <w:outlineLvl w:val="2"/>
        <w:rPr>
          <w:rFonts w:ascii="Helvetica" w:eastAsia="Times New Roman" w:hAnsi="Helvetica" w:cs="Helvetica"/>
          <w:sz w:val="30"/>
          <w:szCs w:val="30"/>
          <w:lang w:eastAsia="ru-RU"/>
        </w:rPr>
      </w:pPr>
      <w:hyperlink r:id="rId14" w:history="1">
        <w:proofErr w:type="spellStart"/>
        <w:r w:rsidRPr="002F3D0F">
          <w:rPr>
            <w:rFonts w:ascii="Helvetica" w:eastAsia="Times New Roman" w:hAnsi="Helvetica" w:cs="Helvetica"/>
            <w:sz w:val="24"/>
            <w:szCs w:val="24"/>
            <w:lang w:eastAsia="ru-RU"/>
          </w:rPr>
          <w:t>Прозон</w:t>
        </w:r>
        <w:proofErr w:type="spellEnd"/>
        <w:r w:rsidRPr="002F3D0F">
          <w:rPr>
            <w:rFonts w:ascii="Helvetica" w:eastAsia="Times New Roman" w:hAnsi="Helvetica" w:cs="Helvetica"/>
            <w:sz w:val="24"/>
            <w:szCs w:val="24"/>
            <w:lang w:eastAsia="ru-RU"/>
          </w:rPr>
          <w:t xml:space="preserve"> для обрабатывания</w:t>
        </w:r>
      </w:hyperlink>
    </w:p>
    <w:p w:rsidR="002F3D0F" w:rsidRPr="002F3D0F" w:rsidRDefault="002F3D0F" w:rsidP="002F3D0F">
      <w:pPr>
        <w:spacing w:after="0" w:line="240" w:lineRule="auto"/>
        <w:ind w:left="315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F3D0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2F3D0F" w:rsidRPr="002F3D0F" w:rsidRDefault="002F3D0F" w:rsidP="002F3D0F">
      <w:pPr>
        <w:numPr>
          <w:ilvl w:val="0"/>
          <w:numId w:val="5"/>
        </w:numPr>
        <w:pBdr>
          <w:top w:val="single" w:sz="36" w:space="0" w:color="EEEEEE"/>
          <w:left w:val="single" w:sz="36" w:space="0" w:color="EEEEEE"/>
          <w:bottom w:val="single" w:sz="36" w:space="0" w:color="EEEEEE"/>
          <w:right w:val="single" w:sz="36" w:space="0" w:color="EEEEEE"/>
        </w:pBdr>
        <w:spacing w:before="100" w:beforeAutospacing="1" w:after="516" w:line="240" w:lineRule="auto"/>
        <w:ind w:left="315"/>
        <w:jc w:val="both"/>
        <w:textAlignment w:val="top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F3D0F"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 wp14:anchorId="0A4EB6D2" wp14:editId="08C84C9E">
            <wp:extent cx="4762500" cy="3333750"/>
            <wp:effectExtent l="0" t="0" r="0" b="0"/>
            <wp:docPr id="2" name="Рисунок 2" descr="СИСТЕМА GUTTACORE™: ЕЩЕ ОДНА СТУПЕНЬ ЭВОЛЮЦИИ ЭНДОДОНТИ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СТЕМА GUTTACORE™: ЕЩЕ ОДНА СТУПЕНЬ ЭВОЛЮЦИИ ЭНДОДОНТИ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0F" w:rsidRPr="002F3D0F" w:rsidRDefault="002F3D0F" w:rsidP="002F3D0F">
      <w:pPr>
        <w:pBdr>
          <w:top w:val="single" w:sz="36" w:space="0" w:color="EEEEEE"/>
          <w:left w:val="single" w:sz="36" w:space="0" w:color="EEEEEE"/>
          <w:bottom w:val="single" w:sz="36" w:space="0" w:color="EEEEEE"/>
          <w:right w:val="single" w:sz="36" w:space="0" w:color="EEEEEE"/>
        </w:pBdr>
        <w:spacing w:before="150" w:after="150" w:line="240" w:lineRule="auto"/>
        <w:ind w:left="315"/>
        <w:textAlignment w:val="top"/>
        <w:outlineLvl w:val="2"/>
        <w:rPr>
          <w:rFonts w:ascii="Helvetica" w:eastAsia="Times New Roman" w:hAnsi="Helvetica" w:cs="Helvetica"/>
          <w:sz w:val="30"/>
          <w:szCs w:val="30"/>
          <w:lang w:eastAsia="ru-RU"/>
        </w:rPr>
      </w:pPr>
      <w:hyperlink r:id="rId17" w:history="1">
        <w:r w:rsidRPr="002F3D0F">
          <w:rPr>
            <w:rFonts w:ascii="Helvetica" w:eastAsia="Times New Roman" w:hAnsi="Helvetica" w:cs="Helvetica"/>
            <w:sz w:val="24"/>
            <w:szCs w:val="24"/>
            <w:lang w:eastAsia="ru-RU"/>
          </w:rPr>
          <w:t>СИСТЕМА GUTTACORE™: ЕЩЕ ОДНА СТУПЕНЬ ЭВОЛЮЦИИ ЭНДОДОНТИИ</w:t>
        </w:r>
      </w:hyperlink>
    </w:p>
    <w:p w:rsidR="002F3D0F" w:rsidRPr="002F3D0F" w:rsidRDefault="002F3D0F" w:rsidP="002F3D0F">
      <w:pPr>
        <w:spacing w:after="0" w:line="240" w:lineRule="auto"/>
        <w:ind w:left="315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F3D0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2F3D0F" w:rsidRPr="002F3D0F" w:rsidRDefault="002F3D0F" w:rsidP="002F3D0F">
      <w:pPr>
        <w:numPr>
          <w:ilvl w:val="0"/>
          <w:numId w:val="5"/>
        </w:numPr>
        <w:pBdr>
          <w:top w:val="single" w:sz="36" w:space="0" w:color="EEEEEE"/>
          <w:left w:val="single" w:sz="36" w:space="0" w:color="EEEEEE"/>
          <w:bottom w:val="single" w:sz="36" w:space="0" w:color="EEEEEE"/>
          <w:right w:val="single" w:sz="36" w:space="0" w:color="EEEEEE"/>
        </w:pBdr>
        <w:spacing w:before="100" w:beforeAutospacing="1" w:after="516" w:line="240" w:lineRule="auto"/>
        <w:ind w:left="315"/>
        <w:jc w:val="both"/>
        <w:textAlignment w:val="top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F3D0F">
        <w:rPr>
          <w:rFonts w:ascii="Helvetica" w:eastAsia="Times New Roman" w:hAnsi="Helvetica" w:cs="Helvetica"/>
          <w:noProof/>
          <w:sz w:val="21"/>
          <w:szCs w:val="21"/>
          <w:lang w:eastAsia="ru-RU"/>
        </w:rPr>
        <w:lastRenderedPageBreak/>
        <w:drawing>
          <wp:inline distT="0" distB="0" distL="0" distR="0" wp14:anchorId="072FF0F7" wp14:editId="553BE39C">
            <wp:extent cx="4762500" cy="3333750"/>
            <wp:effectExtent l="0" t="0" r="0" b="0"/>
            <wp:docPr id="1" name="Рисунок 1" descr="COMPONEER решение эстетических проблем фронтальной группы зубов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ONEER решение эстетических проблем фронтальной группы зубов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0F" w:rsidRPr="002F3D0F" w:rsidRDefault="002F3D0F" w:rsidP="002F3D0F">
      <w:pPr>
        <w:pBdr>
          <w:top w:val="single" w:sz="36" w:space="0" w:color="EEEEEE"/>
          <w:left w:val="single" w:sz="36" w:space="0" w:color="EEEEEE"/>
          <w:bottom w:val="single" w:sz="36" w:space="0" w:color="EEEEEE"/>
          <w:right w:val="single" w:sz="36" w:space="0" w:color="EEEEEE"/>
        </w:pBdr>
        <w:spacing w:before="150" w:after="150" w:line="240" w:lineRule="auto"/>
        <w:ind w:left="315"/>
        <w:textAlignment w:val="top"/>
        <w:outlineLvl w:val="2"/>
        <w:rPr>
          <w:rFonts w:ascii="Helvetica" w:eastAsia="Times New Roman" w:hAnsi="Helvetica" w:cs="Helvetica"/>
          <w:sz w:val="30"/>
          <w:szCs w:val="30"/>
          <w:lang w:eastAsia="ru-RU"/>
        </w:rPr>
      </w:pPr>
      <w:hyperlink r:id="rId20" w:history="1">
        <w:r w:rsidRPr="002F3D0F">
          <w:rPr>
            <w:rFonts w:ascii="Helvetica" w:eastAsia="Times New Roman" w:hAnsi="Helvetica" w:cs="Helvetica"/>
            <w:sz w:val="24"/>
            <w:szCs w:val="24"/>
            <w:u w:val="single"/>
            <w:lang w:eastAsia="ru-RU"/>
          </w:rPr>
          <w:t xml:space="preserve">COMPONEER решение эстетических проблем фронтальной группы </w:t>
        </w:r>
        <w:proofErr w:type="spellStart"/>
        <w:r w:rsidRPr="002F3D0F">
          <w:rPr>
            <w:rFonts w:ascii="Helvetica" w:eastAsia="Times New Roman" w:hAnsi="Helvetica" w:cs="Helvetica"/>
            <w:sz w:val="24"/>
            <w:szCs w:val="24"/>
            <w:u w:val="single"/>
            <w:lang w:eastAsia="ru-RU"/>
          </w:rPr>
          <w:t>зубо</w:t>
        </w:r>
        <w:proofErr w:type="spellEnd"/>
      </w:hyperlink>
    </w:p>
    <w:bookmarkEnd w:id="0"/>
    <w:p w:rsidR="008A6EA9" w:rsidRDefault="008A6EA9"/>
    <w:sectPr w:rsidR="008A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025"/>
    <w:multiLevelType w:val="multilevel"/>
    <w:tmpl w:val="9080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75C55"/>
    <w:multiLevelType w:val="multilevel"/>
    <w:tmpl w:val="C36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27817"/>
    <w:multiLevelType w:val="multilevel"/>
    <w:tmpl w:val="ABCA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27037"/>
    <w:multiLevelType w:val="multilevel"/>
    <w:tmpl w:val="8F66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655C9"/>
    <w:multiLevelType w:val="multilevel"/>
    <w:tmpl w:val="AF8C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9F"/>
    <w:rsid w:val="002F3D0F"/>
    <w:rsid w:val="00354F9F"/>
    <w:rsid w:val="008A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1F491-D763-4F68-933C-A3508EA6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3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3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D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3D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3D0F"/>
    <w:rPr>
      <w:b/>
      <w:bCs/>
    </w:rPr>
  </w:style>
  <w:style w:type="character" w:styleId="a4">
    <w:name w:val="Hyperlink"/>
    <w:basedOn w:val="a0"/>
    <w:uiPriority w:val="99"/>
    <w:semiHidden/>
    <w:unhideWhenUsed/>
    <w:rsid w:val="002F3D0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F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69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26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3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8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3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25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22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16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5506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0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7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1149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7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3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70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04849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6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0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3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1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21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62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05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uznosp.ru/index.php/otdeleniya/terapevticheskoe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oguznosp.ru/index.php/tekhnologii/item/31-componeer-reshenie-esteticheskikh-problem-frontalnoj-gruppy-zub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oguznosp.ru/index.php/tekhnologii/item/33-prozon-dlya-obrabatyvaniya" TargetMode="External"/><Relationship Id="rId17" Type="http://schemas.openxmlformats.org/officeDocument/2006/relationships/hyperlink" Target="http://oguznosp.ru/index.php/tekhnologii/item/32-sistema-guttacore-eshche-odna-stupen-evolyutsii-endodontii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oguznosp.ru/index.php/tekhnologii/item/31-componeer-reshenie-esteticheskikh-problem-frontalnoj-gruppy-zub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dravnsk.ru/raspisanie" TargetMode="External"/><Relationship Id="rId11" Type="http://schemas.openxmlformats.org/officeDocument/2006/relationships/hyperlink" Target="http://oguznosp.ru/index.php/tekhnologii/item/34-mashinnaya-obrabotka-kanalov-noti-instr" TargetMode="External"/><Relationship Id="rId5" Type="http://schemas.openxmlformats.org/officeDocument/2006/relationships/hyperlink" Target="http://www.zdravnsk.ru/raspisanie" TargetMode="External"/><Relationship Id="rId15" Type="http://schemas.openxmlformats.org/officeDocument/2006/relationships/hyperlink" Target="http://oguznosp.ru/index.php/tekhnologii/item/32-sistema-guttacore-eshche-odna-stupen-evolyutsii-endodontii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oguznosp.ru/index.php/tekhnologii/item/34-mashinnaya-obrabotka-kanalov-noti-instr" TargetMode="External"/><Relationship Id="rId14" Type="http://schemas.openxmlformats.org/officeDocument/2006/relationships/hyperlink" Target="http://oguznosp.ru/index.php/tekhnologii/item/33-prozon-dlya-obrabatyvaniy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2019-10-29T06:16:00Z</dcterms:created>
  <dcterms:modified xsi:type="dcterms:W3CDTF">2019-10-29T06:16:00Z</dcterms:modified>
</cp:coreProperties>
</file>