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76" w:rsidRPr="00CA4A7F" w:rsidRDefault="00C84801" w:rsidP="00CA4A7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A7F">
        <w:rPr>
          <w:rFonts w:ascii="Times New Roman" w:hAnsi="Times New Roman" w:cs="Times New Roman"/>
          <w:b/>
          <w:sz w:val="20"/>
          <w:szCs w:val="20"/>
        </w:rPr>
        <w:t>Договор на оказание платных медицинских услуг №</w:t>
      </w:r>
      <w:r w:rsidR="00CA4A7F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C84801" w:rsidRPr="00CA4A7F" w:rsidRDefault="00CA4A7F" w:rsidP="00CA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84801" w:rsidRPr="00CA4A7F">
        <w:rPr>
          <w:rFonts w:ascii="Times New Roman" w:hAnsi="Times New Roman" w:cs="Times New Roman"/>
          <w:sz w:val="20"/>
          <w:szCs w:val="20"/>
        </w:rPr>
        <w:t xml:space="preserve">. Ардатов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84801" w:rsidRPr="00CA4A7F">
        <w:rPr>
          <w:rFonts w:ascii="Times New Roman" w:hAnsi="Times New Roman" w:cs="Times New Roman"/>
          <w:sz w:val="20"/>
          <w:szCs w:val="20"/>
        </w:rPr>
        <w:t xml:space="preserve">          «___»_____________20___г.</w:t>
      </w:r>
    </w:p>
    <w:p w:rsidR="00A066D7" w:rsidRPr="00CA4A7F" w:rsidRDefault="00C84801" w:rsidP="00D60C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6C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Республики Мордовия «</w:t>
      </w:r>
      <w:proofErr w:type="spellStart"/>
      <w:r w:rsidRPr="00C36A6C">
        <w:rPr>
          <w:rFonts w:ascii="Times New Roman" w:hAnsi="Times New Roman" w:cs="Times New Roman"/>
          <w:b/>
          <w:sz w:val="20"/>
          <w:szCs w:val="20"/>
        </w:rPr>
        <w:t>Ардатовская</w:t>
      </w:r>
      <w:proofErr w:type="spellEnd"/>
      <w:r w:rsidRPr="00C36A6C">
        <w:rPr>
          <w:rFonts w:ascii="Times New Roman" w:hAnsi="Times New Roman" w:cs="Times New Roman"/>
          <w:b/>
          <w:sz w:val="20"/>
          <w:szCs w:val="20"/>
        </w:rPr>
        <w:t xml:space="preserve"> районная больница»</w:t>
      </w:r>
      <w:r w:rsidRPr="00CA4A7F">
        <w:rPr>
          <w:rFonts w:ascii="Times New Roman" w:hAnsi="Times New Roman" w:cs="Times New Roman"/>
          <w:sz w:val="20"/>
          <w:szCs w:val="20"/>
        </w:rPr>
        <w:t xml:space="preserve"> адрес места нахождения: Республика Мордовия, г.</w:t>
      </w:r>
      <w:r w:rsidR="00DC068A">
        <w:rPr>
          <w:rFonts w:ascii="Times New Roman" w:hAnsi="Times New Roman" w:cs="Times New Roman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sz w:val="20"/>
          <w:szCs w:val="20"/>
        </w:rPr>
        <w:t>Ард</w:t>
      </w:r>
      <w:r w:rsidR="00D60CB1">
        <w:rPr>
          <w:rFonts w:ascii="Times New Roman" w:hAnsi="Times New Roman" w:cs="Times New Roman"/>
          <w:sz w:val="20"/>
          <w:szCs w:val="20"/>
        </w:rPr>
        <w:t>атов, пер.</w:t>
      </w:r>
      <w:r w:rsidR="00DC068A">
        <w:rPr>
          <w:rFonts w:ascii="Times New Roman" w:hAnsi="Times New Roman" w:cs="Times New Roman"/>
          <w:sz w:val="20"/>
          <w:szCs w:val="20"/>
        </w:rPr>
        <w:t xml:space="preserve"> </w:t>
      </w:r>
      <w:r w:rsidR="00D60CB1">
        <w:rPr>
          <w:rFonts w:ascii="Times New Roman" w:hAnsi="Times New Roman" w:cs="Times New Roman"/>
          <w:sz w:val="20"/>
          <w:szCs w:val="20"/>
        </w:rPr>
        <w:t xml:space="preserve">Луначарского, дом 1, осуществляющее медицинскую деятельность на основании </w:t>
      </w:r>
      <w:r w:rsidR="000D7464" w:rsidRPr="00C36A6C">
        <w:rPr>
          <w:rFonts w:ascii="Times New Roman" w:hAnsi="Times New Roman" w:cs="Times New Roman"/>
          <w:b/>
          <w:sz w:val="20"/>
          <w:szCs w:val="20"/>
        </w:rPr>
        <w:t>Лицензи</w:t>
      </w:r>
      <w:r w:rsidR="00D60CB1">
        <w:rPr>
          <w:rFonts w:ascii="Times New Roman" w:hAnsi="Times New Roman" w:cs="Times New Roman"/>
          <w:b/>
          <w:sz w:val="20"/>
          <w:szCs w:val="20"/>
        </w:rPr>
        <w:t>и</w:t>
      </w:r>
      <w:r w:rsidR="000D7464" w:rsidRPr="00C36A6C">
        <w:rPr>
          <w:rFonts w:ascii="Times New Roman" w:hAnsi="Times New Roman" w:cs="Times New Roman"/>
          <w:b/>
          <w:sz w:val="20"/>
          <w:szCs w:val="20"/>
        </w:rPr>
        <w:t xml:space="preserve"> № ЛО-13-01-00</w:t>
      </w:r>
      <w:r w:rsidR="00DC068A">
        <w:rPr>
          <w:rFonts w:ascii="Times New Roman" w:hAnsi="Times New Roman" w:cs="Times New Roman"/>
          <w:b/>
          <w:sz w:val="20"/>
          <w:szCs w:val="20"/>
        </w:rPr>
        <w:t xml:space="preserve">1020 </w:t>
      </w:r>
      <w:r w:rsidR="005705A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641F0" w:rsidRPr="008641F0">
        <w:rPr>
          <w:rFonts w:ascii="Times New Roman" w:hAnsi="Times New Roman" w:cs="Times New Roman"/>
          <w:b/>
          <w:sz w:val="20"/>
          <w:szCs w:val="20"/>
        </w:rPr>
        <w:t>1</w:t>
      </w:r>
      <w:r w:rsidR="00DC068A">
        <w:rPr>
          <w:rFonts w:ascii="Times New Roman" w:hAnsi="Times New Roman" w:cs="Times New Roman"/>
          <w:b/>
          <w:sz w:val="20"/>
          <w:szCs w:val="20"/>
        </w:rPr>
        <w:t>5</w:t>
      </w:r>
      <w:r w:rsidR="005705A2" w:rsidRPr="00570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068A">
        <w:rPr>
          <w:rFonts w:ascii="Times New Roman" w:hAnsi="Times New Roman" w:cs="Times New Roman"/>
          <w:b/>
          <w:sz w:val="20"/>
          <w:szCs w:val="20"/>
        </w:rPr>
        <w:t>февраля</w:t>
      </w:r>
      <w:r w:rsidR="000D7464" w:rsidRPr="00C36A6C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DC068A">
        <w:rPr>
          <w:rFonts w:ascii="Times New Roman" w:hAnsi="Times New Roman" w:cs="Times New Roman"/>
          <w:b/>
          <w:sz w:val="20"/>
          <w:szCs w:val="20"/>
        </w:rPr>
        <w:t>9</w:t>
      </w:r>
      <w:r w:rsidR="00570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6A6C" w:rsidRPr="00C36A6C">
        <w:rPr>
          <w:rFonts w:ascii="Times New Roman" w:hAnsi="Times New Roman" w:cs="Times New Roman"/>
          <w:b/>
          <w:sz w:val="20"/>
          <w:szCs w:val="20"/>
        </w:rPr>
        <w:t>г</w:t>
      </w:r>
      <w:r w:rsidR="00C36A6C">
        <w:rPr>
          <w:rFonts w:ascii="Times New Roman" w:hAnsi="Times New Roman" w:cs="Times New Roman"/>
          <w:sz w:val="20"/>
          <w:szCs w:val="20"/>
        </w:rPr>
        <w:t>.</w:t>
      </w:r>
      <w:r w:rsidR="000D7464" w:rsidRPr="00CA4A7F">
        <w:rPr>
          <w:rFonts w:ascii="Times New Roman" w:hAnsi="Times New Roman" w:cs="Times New Roman"/>
          <w:sz w:val="20"/>
          <w:szCs w:val="20"/>
        </w:rPr>
        <w:t>, срок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действия бессрочно, выданн</w:t>
      </w:r>
      <w:r w:rsidR="00D60CB1">
        <w:rPr>
          <w:rFonts w:ascii="Times New Roman" w:hAnsi="Times New Roman" w:cs="Times New Roman"/>
          <w:sz w:val="20"/>
          <w:szCs w:val="20"/>
        </w:rPr>
        <w:t>ой</w:t>
      </w:r>
      <w:r w:rsidR="00A066D7" w:rsidRPr="00CA4A7F">
        <w:rPr>
          <w:rFonts w:ascii="Times New Roman" w:hAnsi="Times New Roman" w:cs="Times New Roman"/>
          <w:sz w:val="20"/>
          <w:szCs w:val="20"/>
        </w:rPr>
        <w:t xml:space="preserve"> Министерством здравоохранения Республики Мордовия, 4300</w:t>
      </w:r>
      <w:r w:rsidR="005C0C91">
        <w:rPr>
          <w:rFonts w:ascii="Times New Roman" w:hAnsi="Times New Roman" w:cs="Times New Roman"/>
          <w:sz w:val="20"/>
          <w:szCs w:val="20"/>
        </w:rPr>
        <w:t>02</w:t>
      </w:r>
      <w:r w:rsidR="00A066D7" w:rsidRPr="00CA4A7F">
        <w:rPr>
          <w:rFonts w:ascii="Times New Roman" w:hAnsi="Times New Roman" w:cs="Times New Roman"/>
          <w:sz w:val="20"/>
          <w:szCs w:val="20"/>
        </w:rPr>
        <w:t>, Республика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Мордовия, </w:t>
      </w:r>
      <w:r w:rsidR="00A066D7" w:rsidRPr="00CA4A7F">
        <w:rPr>
          <w:rFonts w:ascii="Times New Roman" w:hAnsi="Times New Roman" w:cs="Times New Roman"/>
          <w:sz w:val="20"/>
          <w:szCs w:val="20"/>
        </w:rPr>
        <w:t xml:space="preserve"> г.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 Саранск, ул. </w:t>
      </w:r>
      <w:r w:rsidR="0030494B">
        <w:rPr>
          <w:rFonts w:ascii="Times New Roman" w:hAnsi="Times New Roman" w:cs="Times New Roman"/>
          <w:sz w:val="20"/>
          <w:szCs w:val="20"/>
        </w:rPr>
        <w:t>Коммунистическая</w:t>
      </w:r>
      <w:r w:rsidR="00536AB4" w:rsidRPr="00CA4A7F">
        <w:rPr>
          <w:rFonts w:ascii="Times New Roman" w:hAnsi="Times New Roman" w:cs="Times New Roman"/>
          <w:sz w:val="20"/>
          <w:szCs w:val="20"/>
        </w:rPr>
        <w:t xml:space="preserve">, </w:t>
      </w:r>
      <w:r w:rsidR="00A066D7" w:rsidRPr="00CA4A7F">
        <w:rPr>
          <w:rFonts w:ascii="Times New Roman" w:hAnsi="Times New Roman" w:cs="Times New Roman"/>
          <w:sz w:val="20"/>
          <w:szCs w:val="20"/>
        </w:rPr>
        <w:t>д.</w:t>
      </w:r>
      <w:r w:rsidR="00536AB4" w:rsidRPr="00CA4A7F">
        <w:rPr>
          <w:rFonts w:ascii="Times New Roman" w:hAnsi="Times New Roman" w:cs="Times New Roman"/>
          <w:sz w:val="20"/>
          <w:szCs w:val="20"/>
        </w:rPr>
        <w:t>3</w:t>
      </w:r>
      <w:r w:rsidR="0030494B">
        <w:rPr>
          <w:rFonts w:ascii="Times New Roman" w:hAnsi="Times New Roman" w:cs="Times New Roman"/>
          <w:sz w:val="20"/>
          <w:szCs w:val="20"/>
        </w:rPr>
        <w:t>3</w:t>
      </w:r>
      <w:r w:rsidR="00844896" w:rsidRPr="00CA4A7F">
        <w:rPr>
          <w:rFonts w:ascii="Times New Roman" w:hAnsi="Times New Roman" w:cs="Times New Roman"/>
          <w:sz w:val="20"/>
          <w:szCs w:val="20"/>
        </w:rPr>
        <w:t>,</w:t>
      </w:r>
      <w:r w:rsidR="0030494B">
        <w:rPr>
          <w:rFonts w:ascii="Times New Roman" w:hAnsi="Times New Roman" w:cs="Times New Roman"/>
          <w:sz w:val="20"/>
          <w:szCs w:val="20"/>
        </w:rPr>
        <w:t xml:space="preserve"> стр.2 тел. 8</w:t>
      </w:r>
      <w:r w:rsidR="00844896" w:rsidRPr="00CA4A7F">
        <w:rPr>
          <w:rFonts w:ascii="Times New Roman" w:hAnsi="Times New Roman" w:cs="Times New Roman"/>
          <w:sz w:val="20"/>
          <w:szCs w:val="20"/>
        </w:rPr>
        <w:t>(8342) 47-68-11, 24-69-69, 23-42-37</w:t>
      </w:r>
      <w:r w:rsidR="00A066D7" w:rsidRPr="00CA4A7F">
        <w:rPr>
          <w:rFonts w:ascii="Times New Roman" w:hAnsi="Times New Roman" w:cs="Times New Roman"/>
          <w:sz w:val="20"/>
          <w:szCs w:val="20"/>
        </w:rPr>
        <w:t xml:space="preserve"> на следующие виды работ</w:t>
      </w:r>
      <w:r w:rsidR="00083D75">
        <w:rPr>
          <w:rFonts w:ascii="Times New Roman" w:hAnsi="Times New Roman" w:cs="Times New Roman"/>
          <w:sz w:val="20"/>
          <w:szCs w:val="20"/>
        </w:rPr>
        <w:t xml:space="preserve"> </w:t>
      </w:r>
      <w:r w:rsidR="00A066D7" w:rsidRPr="00CA4A7F">
        <w:rPr>
          <w:rFonts w:ascii="Times New Roman" w:hAnsi="Times New Roman" w:cs="Times New Roman"/>
          <w:sz w:val="20"/>
          <w:szCs w:val="20"/>
        </w:rPr>
        <w:t>(услуг):</w:t>
      </w:r>
    </w:p>
    <w:p w:rsidR="000F4C8A" w:rsidRPr="00CA4A7F" w:rsidRDefault="00844896" w:rsidP="009C29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7F">
        <w:rPr>
          <w:rFonts w:ascii="Times New Roman" w:hAnsi="Times New Roman" w:cs="Times New Roman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</w:t>
      </w:r>
      <w:r w:rsidR="00083D75">
        <w:rPr>
          <w:rFonts w:ascii="Times New Roman" w:hAnsi="Times New Roman" w:cs="Times New Roman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sz w:val="20"/>
          <w:szCs w:val="20"/>
        </w:rPr>
        <w:t>(услуги): при оказании первичной доврачебной медико</w:t>
      </w:r>
      <w:r w:rsidR="0086067F" w:rsidRPr="00CA4A7F">
        <w:rPr>
          <w:rFonts w:ascii="Times New Roman" w:hAnsi="Times New Roman" w:cs="Times New Roman"/>
          <w:sz w:val="20"/>
          <w:szCs w:val="20"/>
        </w:rPr>
        <w:t>-</w:t>
      </w:r>
      <w:r w:rsidRPr="00CA4A7F">
        <w:rPr>
          <w:rFonts w:ascii="Times New Roman" w:hAnsi="Times New Roman" w:cs="Times New Roman"/>
          <w:sz w:val="20"/>
          <w:szCs w:val="20"/>
        </w:rPr>
        <w:t xml:space="preserve">санитарной помощи в амбулаторных </w:t>
      </w:r>
      <w:r w:rsidR="0086067F" w:rsidRPr="00CA4A7F">
        <w:rPr>
          <w:rFonts w:ascii="Times New Roman" w:hAnsi="Times New Roman" w:cs="Times New Roman"/>
          <w:sz w:val="20"/>
          <w:szCs w:val="20"/>
        </w:rPr>
        <w:t xml:space="preserve">условиях по:  акушерскому делу, </w:t>
      </w:r>
      <w:r w:rsidR="00F123E1" w:rsidRPr="00CA4A7F">
        <w:rPr>
          <w:rFonts w:ascii="Times New Roman" w:hAnsi="Times New Roman" w:cs="Times New Roman"/>
          <w:sz w:val="20"/>
          <w:szCs w:val="20"/>
        </w:rPr>
        <w:t>анестезиологии и реаниматологии,</w:t>
      </w:r>
      <w:r w:rsidR="00F123E1" w:rsidRPr="00F123E1">
        <w:rPr>
          <w:rFonts w:ascii="Times New Roman" w:hAnsi="Times New Roman" w:cs="Times New Roman"/>
          <w:sz w:val="20"/>
          <w:szCs w:val="20"/>
        </w:rPr>
        <w:t xml:space="preserve"> </w:t>
      </w:r>
      <w:r w:rsidR="00F123E1" w:rsidRPr="00CA4A7F">
        <w:rPr>
          <w:rFonts w:ascii="Times New Roman" w:hAnsi="Times New Roman" w:cs="Times New Roman"/>
          <w:sz w:val="20"/>
          <w:szCs w:val="20"/>
        </w:rPr>
        <w:t>бактериологии,</w:t>
      </w:r>
      <w:r w:rsidR="00F123E1">
        <w:rPr>
          <w:rFonts w:ascii="Times New Roman" w:hAnsi="Times New Roman" w:cs="Times New Roman"/>
          <w:sz w:val="20"/>
          <w:szCs w:val="20"/>
        </w:rPr>
        <w:t xml:space="preserve"> </w:t>
      </w:r>
      <w:r w:rsidR="0086067F" w:rsidRPr="00CA4A7F">
        <w:rPr>
          <w:rFonts w:ascii="Times New Roman" w:hAnsi="Times New Roman" w:cs="Times New Roman"/>
          <w:sz w:val="20"/>
          <w:szCs w:val="20"/>
        </w:rPr>
        <w:t>лабораторной диагностике, лечеб</w:t>
      </w:r>
      <w:r w:rsidR="006733B9" w:rsidRPr="00CA4A7F">
        <w:rPr>
          <w:rFonts w:ascii="Times New Roman" w:hAnsi="Times New Roman" w:cs="Times New Roman"/>
          <w:sz w:val="20"/>
          <w:szCs w:val="20"/>
        </w:rPr>
        <w:t>ному делу, медицинскому массажу, общей практике, паразитологии, сестринскому делу, стоматологии, стоматологии ортопедической, физиотера</w:t>
      </w:r>
      <w:r w:rsidR="00083D75">
        <w:rPr>
          <w:rFonts w:ascii="Times New Roman" w:hAnsi="Times New Roman" w:cs="Times New Roman"/>
          <w:sz w:val="20"/>
          <w:szCs w:val="20"/>
        </w:rPr>
        <w:t>пии, функциональной диагностике;</w:t>
      </w:r>
      <w:r w:rsidR="006733B9" w:rsidRPr="00CA4A7F">
        <w:rPr>
          <w:rFonts w:ascii="Times New Roman" w:hAnsi="Times New Roman" w:cs="Times New Roman"/>
          <w:sz w:val="20"/>
          <w:szCs w:val="20"/>
        </w:rPr>
        <w:t xml:space="preserve"> при оказании первичной специализированной медико-санитарной помощи в амбула</w:t>
      </w:r>
      <w:r w:rsidR="006B70BE" w:rsidRPr="00CA4A7F">
        <w:rPr>
          <w:rFonts w:ascii="Times New Roman" w:hAnsi="Times New Roman" w:cs="Times New Roman"/>
          <w:sz w:val="20"/>
          <w:szCs w:val="20"/>
        </w:rPr>
        <w:t>торных условиях по</w:t>
      </w:r>
      <w:r w:rsidR="007136D8">
        <w:rPr>
          <w:rFonts w:ascii="Times New Roman" w:hAnsi="Times New Roman" w:cs="Times New Roman"/>
          <w:sz w:val="20"/>
          <w:szCs w:val="20"/>
        </w:rPr>
        <w:t>:</w:t>
      </w:r>
      <w:r w:rsidR="006B70BE" w:rsidRPr="00CA4A7F">
        <w:rPr>
          <w:rFonts w:ascii="Times New Roman" w:hAnsi="Times New Roman" w:cs="Times New Roman"/>
          <w:sz w:val="20"/>
          <w:szCs w:val="20"/>
        </w:rPr>
        <w:t xml:space="preserve"> </w:t>
      </w:r>
      <w:r w:rsidR="006733B9" w:rsidRPr="00CA4A7F">
        <w:rPr>
          <w:rFonts w:ascii="Times New Roman" w:hAnsi="Times New Roman" w:cs="Times New Roman"/>
          <w:sz w:val="20"/>
          <w:szCs w:val="20"/>
        </w:rPr>
        <w:t>акушерству и гинекологии</w:t>
      </w:r>
      <w:r w:rsidR="00083D75">
        <w:rPr>
          <w:rFonts w:ascii="Times New Roman" w:hAnsi="Times New Roman" w:cs="Times New Roman"/>
          <w:sz w:val="20"/>
          <w:szCs w:val="20"/>
        </w:rPr>
        <w:t xml:space="preserve"> </w:t>
      </w:r>
      <w:r w:rsidR="006733B9" w:rsidRPr="00CA4A7F">
        <w:rPr>
          <w:rFonts w:ascii="Times New Roman" w:hAnsi="Times New Roman" w:cs="Times New Roman"/>
          <w:sz w:val="20"/>
          <w:szCs w:val="20"/>
        </w:rPr>
        <w:t>(за исключением использования вспомогательных репродуктивных технологий),</w:t>
      </w:r>
      <w:r w:rsidR="007136D8" w:rsidRPr="007136D8">
        <w:rPr>
          <w:rFonts w:ascii="Times New Roman" w:hAnsi="Times New Roman" w:cs="Times New Roman"/>
          <w:sz w:val="20"/>
          <w:szCs w:val="20"/>
        </w:rPr>
        <w:t xml:space="preserve"> </w:t>
      </w:r>
      <w:r w:rsidR="007136D8" w:rsidRPr="00CA4A7F">
        <w:rPr>
          <w:rFonts w:ascii="Times New Roman" w:hAnsi="Times New Roman" w:cs="Times New Roman"/>
          <w:sz w:val="20"/>
          <w:szCs w:val="20"/>
        </w:rPr>
        <w:t>анестезиологии и реаниматологии,</w:t>
      </w:r>
      <w:r w:rsidR="006733B9" w:rsidRPr="00CA4A7F">
        <w:rPr>
          <w:rFonts w:ascii="Times New Roman" w:hAnsi="Times New Roman" w:cs="Times New Roman"/>
          <w:sz w:val="20"/>
          <w:szCs w:val="20"/>
        </w:rPr>
        <w:t xml:space="preserve"> </w:t>
      </w:r>
      <w:r w:rsidR="007136D8" w:rsidRPr="00CA4A7F">
        <w:rPr>
          <w:rFonts w:ascii="Times New Roman" w:hAnsi="Times New Roman" w:cs="Times New Roman"/>
          <w:sz w:val="20"/>
          <w:szCs w:val="20"/>
        </w:rPr>
        <w:t>бактериологии,</w:t>
      </w:r>
      <w:r w:rsidR="007136D8" w:rsidRPr="007136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36D8" w:rsidRPr="00CA4A7F">
        <w:rPr>
          <w:rFonts w:ascii="Times New Roman" w:hAnsi="Times New Roman" w:cs="Times New Roman"/>
          <w:sz w:val="20"/>
          <w:szCs w:val="20"/>
        </w:rPr>
        <w:t>дерматовенерологии</w:t>
      </w:r>
      <w:proofErr w:type="spellEnd"/>
      <w:r w:rsidR="007136D8" w:rsidRPr="00CA4A7F">
        <w:rPr>
          <w:rFonts w:ascii="Times New Roman" w:hAnsi="Times New Roman" w:cs="Times New Roman"/>
          <w:sz w:val="20"/>
          <w:szCs w:val="20"/>
        </w:rPr>
        <w:t>,</w:t>
      </w:r>
      <w:r w:rsidR="007136D8">
        <w:rPr>
          <w:rFonts w:ascii="Times New Roman" w:hAnsi="Times New Roman" w:cs="Times New Roman"/>
          <w:sz w:val="20"/>
          <w:szCs w:val="20"/>
        </w:rPr>
        <w:t xml:space="preserve"> </w:t>
      </w:r>
      <w:r w:rsidR="006733B9" w:rsidRPr="00CA4A7F">
        <w:rPr>
          <w:rFonts w:ascii="Times New Roman" w:hAnsi="Times New Roman" w:cs="Times New Roman"/>
          <w:sz w:val="20"/>
          <w:szCs w:val="20"/>
        </w:rPr>
        <w:t>кардиологии, клинической лабораторной диагностике, неврологии, оториноларингологии</w:t>
      </w:r>
      <w:r w:rsidR="007136D8">
        <w:rPr>
          <w:rFonts w:ascii="Times New Roman" w:hAnsi="Times New Roman" w:cs="Times New Roman"/>
          <w:sz w:val="20"/>
          <w:szCs w:val="20"/>
        </w:rPr>
        <w:t xml:space="preserve"> </w:t>
      </w:r>
      <w:r w:rsidR="006733B9" w:rsidRPr="00CA4A7F">
        <w:rPr>
          <w:rFonts w:ascii="Times New Roman" w:hAnsi="Times New Roman" w:cs="Times New Roman"/>
          <w:sz w:val="20"/>
          <w:szCs w:val="20"/>
        </w:rPr>
        <w:t xml:space="preserve">(за исключением </w:t>
      </w:r>
      <w:proofErr w:type="spellStart"/>
      <w:r w:rsidR="006733B9" w:rsidRPr="00CA4A7F"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 w:rsidR="006733B9" w:rsidRPr="00CA4A7F">
        <w:rPr>
          <w:rFonts w:ascii="Times New Roman" w:hAnsi="Times New Roman" w:cs="Times New Roman"/>
          <w:sz w:val="20"/>
          <w:szCs w:val="20"/>
        </w:rPr>
        <w:t xml:space="preserve"> имплантации), офтальмологии,</w:t>
      </w:r>
      <w:r w:rsidR="00C36A6C">
        <w:rPr>
          <w:rFonts w:ascii="Times New Roman" w:hAnsi="Times New Roman" w:cs="Times New Roman"/>
          <w:sz w:val="20"/>
          <w:szCs w:val="20"/>
        </w:rPr>
        <w:t xml:space="preserve"> </w:t>
      </w:r>
      <w:r w:rsidR="006733B9" w:rsidRPr="00CA4A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33B9" w:rsidRPr="00CA4A7F">
        <w:rPr>
          <w:rFonts w:ascii="Times New Roman" w:hAnsi="Times New Roman" w:cs="Times New Roman"/>
          <w:sz w:val="20"/>
          <w:szCs w:val="20"/>
        </w:rPr>
        <w:t>профпатологии</w:t>
      </w:r>
      <w:proofErr w:type="spellEnd"/>
      <w:r w:rsidR="006733B9" w:rsidRPr="00CA4A7F">
        <w:rPr>
          <w:rFonts w:ascii="Times New Roman" w:hAnsi="Times New Roman" w:cs="Times New Roman"/>
          <w:sz w:val="20"/>
          <w:szCs w:val="20"/>
        </w:rPr>
        <w:t>, психиатрии, психиатрии</w:t>
      </w:r>
      <w:r w:rsidR="005C0C91">
        <w:rPr>
          <w:rFonts w:ascii="Times New Roman" w:hAnsi="Times New Roman" w:cs="Times New Roman"/>
          <w:sz w:val="20"/>
          <w:szCs w:val="20"/>
        </w:rPr>
        <w:t>-наркологии</w:t>
      </w:r>
      <w:r w:rsidR="006733B9" w:rsidRPr="00CA4A7F">
        <w:rPr>
          <w:rFonts w:ascii="Times New Roman" w:hAnsi="Times New Roman" w:cs="Times New Roman"/>
          <w:sz w:val="20"/>
          <w:szCs w:val="20"/>
        </w:rPr>
        <w:t xml:space="preserve">, рентгенологии, </w:t>
      </w:r>
      <w:r w:rsidR="00537443" w:rsidRPr="00CA4A7F">
        <w:rPr>
          <w:rFonts w:ascii="Times New Roman" w:hAnsi="Times New Roman" w:cs="Times New Roman"/>
          <w:sz w:val="20"/>
          <w:szCs w:val="20"/>
        </w:rPr>
        <w:t xml:space="preserve">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</w:t>
      </w:r>
      <w:r w:rsidR="007136D8">
        <w:rPr>
          <w:rFonts w:ascii="Times New Roman" w:hAnsi="Times New Roman" w:cs="Times New Roman"/>
          <w:sz w:val="20"/>
          <w:szCs w:val="20"/>
        </w:rPr>
        <w:t xml:space="preserve">функциональной диагностике, </w:t>
      </w:r>
      <w:r w:rsidR="00537443" w:rsidRPr="00CA4A7F">
        <w:rPr>
          <w:rFonts w:ascii="Times New Roman" w:hAnsi="Times New Roman" w:cs="Times New Roman"/>
          <w:sz w:val="20"/>
          <w:szCs w:val="20"/>
        </w:rPr>
        <w:t>хирургии, эндокринологии</w:t>
      </w:r>
      <w:r w:rsidR="007136D8">
        <w:rPr>
          <w:rFonts w:ascii="Times New Roman" w:hAnsi="Times New Roman" w:cs="Times New Roman"/>
          <w:sz w:val="20"/>
          <w:szCs w:val="20"/>
        </w:rPr>
        <w:t>, эндоскопии</w:t>
      </w:r>
      <w:r w:rsidR="00537443" w:rsidRPr="00CA4A7F">
        <w:rPr>
          <w:rFonts w:ascii="Times New Roman" w:hAnsi="Times New Roman" w:cs="Times New Roman"/>
          <w:sz w:val="20"/>
          <w:szCs w:val="20"/>
        </w:rPr>
        <w:t>; При оказании специализированной, в том числе высокотехнологичной, медицинской помощи организуются и выполняются следующие работы</w:t>
      </w:r>
      <w:r w:rsidR="00C36A6C">
        <w:rPr>
          <w:rFonts w:ascii="Times New Roman" w:hAnsi="Times New Roman" w:cs="Times New Roman"/>
          <w:sz w:val="20"/>
          <w:szCs w:val="20"/>
        </w:rPr>
        <w:t xml:space="preserve"> </w:t>
      </w:r>
      <w:r w:rsidR="00537443" w:rsidRPr="00CA4A7F">
        <w:rPr>
          <w:rFonts w:ascii="Times New Roman" w:hAnsi="Times New Roman" w:cs="Times New Roman"/>
          <w:sz w:val="20"/>
          <w:szCs w:val="20"/>
        </w:rPr>
        <w:t>(услуги): при оказании специализированной медицинской помощи в стационарных условиях по</w:t>
      </w:r>
      <w:r w:rsidR="009C2993">
        <w:rPr>
          <w:rFonts w:ascii="Times New Roman" w:hAnsi="Times New Roman" w:cs="Times New Roman"/>
          <w:sz w:val="20"/>
          <w:szCs w:val="20"/>
        </w:rPr>
        <w:t>:</w:t>
      </w:r>
      <w:r w:rsidR="00537443" w:rsidRPr="00CA4A7F">
        <w:rPr>
          <w:rFonts w:ascii="Times New Roman" w:hAnsi="Times New Roman" w:cs="Times New Roman"/>
          <w:sz w:val="20"/>
          <w:szCs w:val="20"/>
        </w:rPr>
        <w:t xml:space="preserve"> психиатрии-наркологии; При проведении медицинских осмотров, медицинских освидетельс</w:t>
      </w:r>
      <w:r w:rsidR="00BA642F" w:rsidRPr="00CA4A7F">
        <w:rPr>
          <w:rFonts w:ascii="Times New Roman" w:hAnsi="Times New Roman" w:cs="Times New Roman"/>
          <w:sz w:val="20"/>
          <w:szCs w:val="20"/>
        </w:rPr>
        <w:t>т</w:t>
      </w:r>
      <w:r w:rsidR="00537443" w:rsidRPr="00CA4A7F">
        <w:rPr>
          <w:rFonts w:ascii="Times New Roman" w:hAnsi="Times New Roman" w:cs="Times New Roman"/>
          <w:sz w:val="20"/>
          <w:szCs w:val="20"/>
        </w:rPr>
        <w:t>вований и</w:t>
      </w:r>
      <w:r w:rsidR="00BA642F" w:rsidRPr="00CA4A7F">
        <w:rPr>
          <w:rFonts w:ascii="Times New Roman" w:hAnsi="Times New Roman" w:cs="Times New Roman"/>
          <w:sz w:val="20"/>
          <w:szCs w:val="20"/>
        </w:rPr>
        <w:t xml:space="preserve"> медицинских экспертиз организуются и выполняются</w:t>
      </w:r>
      <w:r w:rsidR="00537443" w:rsidRPr="00CA4A7F">
        <w:rPr>
          <w:rFonts w:ascii="Times New Roman" w:hAnsi="Times New Roman" w:cs="Times New Roman"/>
          <w:sz w:val="20"/>
          <w:szCs w:val="20"/>
        </w:rPr>
        <w:t xml:space="preserve"> </w:t>
      </w:r>
      <w:r w:rsidR="00BA642F" w:rsidRPr="00CA4A7F">
        <w:rPr>
          <w:rFonts w:ascii="Times New Roman" w:hAnsi="Times New Roman" w:cs="Times New Roman"/>
          <w:sz w:val="20"/>
          <w:szCs w:val="20"/>
        </w:rPr>
        <w:t>следующие работы</w:t>
      </w:r>
      <w:r w:rsidR="00083D75">
        <w:rPr>
          <w:rFonts w:ascii="Times New Roman" w:hAnsi="Times New Roman" w:cs="Times New Roman"/>
          <w:sz w:val="20"/>
          <w:szCs w:val="20"/>
        </w:rPr>
        <w:t xml:space="preserve"> </w:t>
      </w:r>
      <w:r w:rsidR="00BA642F" w:rsidRPr="00CA4A7F">
        <w:rPr>
          <w:rFonts w:ascii="Times New Roman" w:hAnsi="Times New Roman" w:cs="Times New Roman"/>
          <w:sz w:val="20"/>
          <w:szCs w:val="20"/>
        </w:rPr>
        <w:t>(услуги)</w:t>
      </w:r>
      <w:r w:rsidR="00B77529" w:rsidRPr="00CA4A7F">
        <w:rPr>
          <w:rFonts w:ascii="Times New Roman" w:hAnsi="Times New Roman" w:cs="Times New Roman"/>
          <w:sz w:val="20"/>
          <w:szCs w:val="20"/>
        </w:rPr>
        <w:t>: при проведении</w:t>
      </w:r>
      <w:r w:rsidR="00384CBE" w:rsidRPr="00CA4A7F">
        <w:rPr>
          <w:rFonts w:ascii="Times New Roman" w:hAnsi="Times New Roman" w:cs="Times New Roman"/>
          <w:sz w:val="20"/>
          <w:szCs w:val="20"/>
        </w:rPr>
        <w:t xml:space="preserve"> медицинских осмотров по: медицинским осмотрам (</w:t>
      </w:r>
      <w:bookmarkStart w:id="0" w:name="_GoBack"/>
      <w:bookmarkEnd w:id="0"/>
      <w:r w:rsidR="006C191E" w:rsidRPr="00CA4A7F">
        <w:rPr>
          <w:rFonts w:ascii="Times New Roman" w:hAnsi="Times New Roman" w:cs="Times New Roman"/>
          <w:sz w:val="20"/>
          <w:szCs w:val="20"/>
        </w:rPr>
        <w:t>предварительным, периодическим), медицинским осмотрам (</w:t>
      </w:r>
      <w:proofErr w:type="spellStart"/>
      <w:r w:rsidR="006C191E" w:rsidRPr="00CA4A7F">
        <w:rPr>
          <w:rFonts w:ascii="Times New Roman" w:hAnsi="Times New Roman" w:cs="Times New Roman"/>
          <w:sz w:val="20"/>
          <w:szCs w:val="20"/>
        </w:rPr>
        <w:t>предрейсовым</w:t>
      </w:r>
      <w:proofErr w:type="spellEnd"/>
      <w:r w:rsidR="006C191E" w:rsidRPr="00CA4A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191E" w:rsidRPr="00CA4A7F">
        <w:rPr>
          <w:rFonts w:ascii="Times New Roman" w:hAnsi="Times New Roman" w:cs="Times New Roman"/>
          <w:sz w:val="20"/>
          <w:szCs w:val="20"/>
        </w:rPr>
        <w:t>послерейсовым</w:t>
      </w:r>
      <w:proofErr w:type="spellEnd"/>
      <w:r w:rsidR="006C191E" w:rsidRPr="00CA4A7F">
        <w:rPr>
          <w:rFonts w:ascii="Times New Roman" w:hAnsi="Times New Roman" w:cs="Times New Roman"/>
          <w:sz w:val="20"/>
          <w:szCs w:val="20"/>
        </w:rPr>
        <w:t xml:space="preserve">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медицинскому освидетельствованию на наличие медицинских противопоказаний к владению оружием, медицинскому </w:t>
      </w:r>
      <w:r w:rsidR="009C2993">
        <w:rPr>
          <w:rFonts w:ascii="Times New Roman" w:hAnsi="Times New Roman" w:cs="Times New Roman"/>
          <w:sz w:val="20"/>
          <w:szCs w:val="20"/>
        </w:rPr>
        <w:t>освидетельствованию на состояние опьянения</w:t>
      </w:r>
      <w:r w:rsidR="00D60CB1">
        <w:rPr>
          <w:rFonts w:ascii="Times New Roman" w:hAnsi="Times New Roman" w:cs="Times New Roman"/>
          <w:sz w:val="20"/>
          <w:szCs w:val="20"/>
        </w:rPr>
        <w:t xml:space="preserve"> 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(алкогольного, </w:t>
      </w:r>
      <w:r w:rsidR="009C2993">
        <w:rPr>
          <w:rFonts w:ascii="Times New Roman" w:hAnsi="Times New Roman" w:cs="Times New Roman"/>
          <w:sz w:val="20"/>
          <w:szCs w:val="20"/>
        </w:rPr>
        <w:t>наркотического или иного токсического</w:t>
      </w:r>
      <w:r w:rsidR="000F4C8A" w:rsidRPr="00CA4A7F">
        <w:rPr>
          <w:rFonts w:ascii="Times New Roman" w:hAnsi="Times New Roman" w:cs="Times New Roman"/>
          <w:sz w:val="20"/>
          <w:szCs w:val="20"/>
        </w:rPr>
        <w:t>); при проведении медицинских экспертиз по: эксперти</w:t>
      </w:r>
      <w:r w:rsidR="00D60CB1">
        <w:rPr>
          <w:rFonts w:ascii="Times New Roman" w:hAnsi="Times New Roman" w:cs="Times New Roman"/>
          <w:sz w:val="20"/>
          <w:szCs w:val="20"/>
        </w:rPr>
        <w:t>зе профессиональной пригодности и Устава</w:t>
      </w:r>
      <w:r w:rsidR="009C2993">
        <w:rPr>
          <w:rFonts w:ascii="Times New Roman" w:hAnsi="Times New Roman" w:cs="Times New Roman"/>
          <w:sz w:val="20"/>
          <w:szCs w:val="20"/>
        </w:rPr>
        <w:t xml:space="preserve"> </w:t>
      </w:r>
      <w:r w:rsidR="00D60CB1">
        <w:rPr>
          <w:rFonts w:ascii="Times New Roman" w:hAnsi="Times New Roman" w:cs="Times New Roman"/>
          <w:sz w:val="20"/>
          <w:szCs w:val="20"/>
        </w:rPr>
        <w:t>в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 лице </w:t>
      </w:r>
      <w:proofErr w:type="spellStart"/>
      <w:r w:rsidR="00DC068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DC068A">
        <w:rPr>
          <w:rFonts w:ascii="Times New Roman" w:hAnsi="Times New Roman" w:cs="Times New Roman"/>
          <w:sz w:val="20"/>
          <w:szCs w:val="20"/>
        </w:rPr>
        <w:t xml:space="preserve">. 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главного врача </w:t>
      </w:r>
      <w:r w:rsidR="00DC068A">
        <w:rPr>
          <w:rFonts w:ascii="Times New Roman" w:hAnsi="Times New Roman" w:cs="Times New Roman"/>
          <w:b/>
          <w:sz w:val="20"/>
          <w:szCs w:val="20"/>
        </w:rPr>
        <w:t>Воробьёва Александра Ивановича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0F4C8A" w:rsidRPr="00C36A6C">
        <w:rPr>
          <w:rFonts w:ascii="Times New Roman" w:hAnsi="Times New Roman" w:cs="Times New Roman"/>
          <w:b/>
          <w:sz w:val="20"/>
          <w:szCs w:val="20"/>
        </w:rPr>
        <w:t>«ИСПОЛНИТЕЛЬ»,</w:t>
      </w:r>
      <w:r w:rsidR="000F4C8A" w:rsidRPr="00CA4A7F">
        <w:rPr>
          <w:rFonts w:ascii="Times New Roman" w:hAnsi="Times New Roman" w:cs="Times New Roman"/>
          <w:sz w:val="20"/>
          <w:szCs w:val="20"/>
        </w:rPr>
        <w:t xml:space="preserve"> с одной стороны</w:t>
      </w:r>
    </w:p>
    <w:p w:rsidR="000F4C8A" w:rsidRPr="00CA4A7F" w:rsidRDefault="000F4C8A" w:rsidP="00CA4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CA4A7F" w:rsidRDefault="000F4C8A" w:rsidP="00CA4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A7F">
        <w:rPr>
          <w:rFonts w:ascii="Times New Roman" w:hAnsi="Times New Roman" w:cs="Times New Roman"/>
          <w:sz w:val="20"/>
          <w:szCs w:val="20"/>
        </w:rPr>
        <w:t>(ФИО потребителя)</w:t>
      </w:r>
    </w:p>
    <w:p w:rsidR="000F4C8A" w:rsidRPr="00CA4A7F" w:rsidRDefault="000F4C8A" w:rsidP="00CA4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C36A6C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CA4A7F">
        <w:rPr>
          <w:rFonts w:ascii="Times New Roman" w:hAnsi="Times New Roman" w:cs="Times New Roman"/>
          <w:sz w:val="20"/>
          <w:szCs w:val="20"/>
        </w:rPr>
        <w:t>, с</w:t>
      </w:r>
      <w:r w:rsidR="00F67AAE">
        <w:rPr>
          <w:rFonts w:ascii="Times New Roman" w:hAnsi="Times New Roman" w:cs="Times New Roman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sz w:val="20"/>
          <w:szCs w:val="20"/>
        </w:rPr>
        <w:t>другой стороны, в соответствии с Федеральным законом от 29 ноября 2010г. № 329 «Об обязательном медицинском страховании в Российской Федерации» и Федеральном законом от 21 ноября</w:t>
      </w:r>
      <w:r w:rsidR="00E17FF4" w:rsidRPr="00CA4A7F">
        <w:rPr>
          <w:rFonts w:ascii="Times New Roman" w:hAnsi="Times New Roman" w:cs="Times New Roman"/>
          <w:sz w:val="20"/>
          <w:szCs w:val="20"/>
        </w:rPr>
        <w:t xml:space="preserve"> 2011г. №323-ФЗ «Об основах охраны здоровья граждан в Российской Федерации», Постановлением Правительства РФ от 4 октября 2012 года № 1006 «</w:t>
      </w:r>
      <w:r w:rsidR="00656F91" w:rsidRPr="00CA4A7F">
        <w:rPr>
          <w:rFonts w:ascii="Times New Roman" w:hAnsi="Times New Roman" w:cs="Times New Roman"/>
          <w:sz w:val="20"/>
          <w:szCs w:val="20"/>
        </w:rPr>
        <w:t>Об утверждении Правил предоставления медицинскими организациями платных услуг</w:t>
      </w:r>
      <w:r w:rsidR="00E17FF4" w:rsidRPr="00CA4A7F">
        <w:rPr>
          <w:rFonts w:ascii="Times New Roman" w:hAnsi="Times New Roman" w:cs="Times New Roman"/>
          <w:sz w:val="20"/>
          <w:szCs w:val="20"/>
        </w:rPr>
        <w:t>»</w:t>
      </w:r>
      <w:r w:rsidR="009A06C5" w:rsidRPr="00CA4A7F">
        <w:rPr>
          <w:rFonts w:ascii="Times New Roman" w:hAnsi="Times New Roman" w:cs="Times New Roman"/>
          <w:sz w:val="20"/>
          <w:szCs w:val="20"/>
        </w:rPr>
        <w:t>, Приказо</w:t>
      </w:r>
      <w:r w:rsidR="00656F91" w:rsidRPr="00CA4A7F">
        <w:rPr>
          <w:rFonts w:ascii="Times New Roman" w:hAnsi="Times New Roman" w:cs="Times New Roman"/>
          <w:sz w:val="20"/>
          <w:szCs w:val="20"/>
        </w:rPr>
        <w:t>м ГБУЗ РМ «</w:t>
      </w:r>
      <w:proofErr w:type="spellStart"/>
      <w:r w:rsidR="00656F91" w:rsidRPr="00CA4A7F">
        <w:rPr>
          <w:rFonts w:ascii="Times New Roman" w:hAnsi="Times New Roman" w:cs="Times New Roman"/>
          <w:sz w:val="20"/>
          <w:szCs w:val="20"/>
        </w:rPr>
        <w:t>Ардатовская</w:t>
      </w:r>
      <w:proofErr w:type="spellEnd"/>
      <w:r w:rsidR="00656F91" w:rsidRPr="00CA4A7F">
        <w:rPr>
          <w:rFonts w:ascii="Times New Roman" w:hAnsi="Times New Roman" w:cs="Times New Roman"/>
          <w:sz w:val="20"/>
          <w:szCs w:val="20"/>
        </w:rPr>
        <w:t xml:space="preserve"> РБ» от</w:t>
      </w:r>
      <w:r w:rsidR="009A06C5" w:rsidRPr="00CA4A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F25E4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25E4">
        <w:rPr>
          <w:rFonts w:ascii="Times New Roman" w:hAnsi="Times New Roman" w:cs="Times New Roman"/>
          <w:color w:val="000000" w:themeColor="text1"/>
          <w:sz w:val="20"/>
          <w:szCs w:val="20"/>
        </w:rPr>
        <w:t>мая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</w:t>
      </w:r>
      <w:r w:rsidR="007F25E4">
        <w:rPr>
          <w:rFonts w:ascii="Times New Roman" w:hAnsi="Times New Roman" w:cs="Times New Roman"/>
          <w:color w:val="000000" w:themeColor="text1"/>
          <w:sz w:val="20"/>
          <w:szCs w:val="20"/>
        </w:rPr>
        <w:t>5 года № 20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«Об 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утверждении Положения о предоставлении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ГБУЗ РМ «</w:t>
      </w:r>
      <w:proofErr w:type="spellStart"/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Ардатовская</w:t>
      </w:r>
      <w:proofErr w:type="spellEnd"/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РБ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9A06C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платных медицинских услуг </w:t>
      </w:r>
      <w:r w:rsidR="00656F9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» заключили настоящий договор о нижеследующем:</w:t>
      </w:r>
    </w:p>
    <w:p w:rsidR="00514C83" w:rsidRPr="00CA4A7F" w:rsidRDefault="009A06C5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1.Предмет договор</w:t>
      </w:r>
      <w:r w:rsidR="00514C83"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</w:p>
    <w:p w:rsidR="00AE4006" w:rsidRPr="00CA4A7F" w:rsidRDefault="00514C83" w:rsidP="00C36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ИСПОНИТЕЛЬ оказывает качественную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ое</w:t>
      </w:r>
      <w:proofErr w:type="spellEnd"/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proofErr w:type="spellEnd"/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 Услугу</w:t>
      </w:r>
      <w:r w:rsidR="009C2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(обследование,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исследование,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лечение, консультацию, медицинский осмотр) медицинского характера в виде профилактической, лечебно-диагностической, реабилитационной помощи, включающую в себя: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87"/>
        <w:gridCol w:w="557"/>
        <w:gridCol w:w="3105"/>
        <w:gridCol w:w="581"/>
        <w:gridCol w:w="3083"/>
      </w:tblGrid>
      <w:tr w:rsidR="00AE4006" w:rsidTr="005C0C91">
        <w:tc>
          <w:tcPr>
            <w:tcW w:w="10988" w:type="dxa"/>
            <w:gridSpan w:val="6"/>
          </w:tcPr>
          <w:p w:rsidR="00AE4006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медицинской услуги (код мед. услуги по прейскуранту)</w:t>
            </w:r>
          </w:p>
        </w:tc>
      </w:tr>
      <w:tr w:rsidR="00AE4006" w:rsidTr="00AE4006">
        <w:tc>
          <w:tcPr>
            <w:tcW w:w="675" w:type="dxa"/>
          </w:tcPr>
          <w:p w:rsidR="00AE4006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AE4006" w:rsidP="00AE4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67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02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21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13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19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4006" w:rsidTr="00533FDB">
        <w:trPr>
          <w:trHeight w:val="425"/>
        </w:trPr>
        <w:tc>
          <w:tcPr>
            <w:tcW w:w="675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05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AE4006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83" w:type="dxa"/>
          </w:tcPr>
          <w:p w:rsidR="00AE4006" w:rsidRDefault="00AE4006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FDB" w:rsidTr="00533FDB">
        <w:trPr>
          <w:trHeight w:val="418"/>
        </w:trPr>
        <w:tc>
          <w:tcPr>
            <w:tcW w:w="675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05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083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3FDB" w:rsidTr="00533FDB">
        <w:trPr>
          <w:trHeight w:val="409"/>
        </w:trPr>
        <w:tc>
          <w:tcPr>
            <w:tcW w:w="675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7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05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</w:tcPr>
          <w:p w:rsidR="00533FDB" w:rsidRDefault="00533FDB" w:rsidP="00533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083" w:type="dxa"/>
          </w:tcPr>
          <w:p w:rsidR="00533FDB" w:rsidRDefault="00533FDB" w:rsidP="00C36A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14C83" w:rsidRPr="00CA4A7F" w:rsidRDefault="00514C83" w:rsidP="00C36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4C83" w:rsidRPr="00CA4A7F" w:rsidRDefault="00514C83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2.Условия и сроки предоставления платных медицинских услуг</w:t>
      </w:r>
    </w:p>
    <w:p w:rsidR="008D136B" w:rsidRPr="00CA4A7F" w:rsidRDefault="009769F2" w:rsidP="00533FD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обязуется осуществить качественное</w:t>
      </w:r>
      <w:r w:rsidR="00E206D5" w:rsidRPr="00E20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proofErr w:type="spellEnd"/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3328A8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услугу (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обследование,</w:t>
      </w:r>
      <w:r w:rsidR="003E481C" w:rsidRPr="003E481C">
        <w:t xml:space="preserve"> </w:t>
      </w:r>
      <w:r w:rsidR="003E481C" w:rsidRPr="003E481C">
        <w:rPr>
          <w:rFonts w:ascii="Times New Roman" w:hAnsi="Times New Roman" w:cs="Times New Roman"/>
          <w:color w:val="000000" w:themeColor="text1"/>
          <w:sz w:val="20"/>
          <w:szCs w:val="20"/>
        </w:rPr>
        <w:t>исследование,</w:t>
      </w:r>
      <w:r w:rsidR="003E48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лечение, консультацию, медицинский осмотр</w:t>
      </w:r>
      <w:r w:rsidR="003328A8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(нужное подчеркнуть) врачом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) специалистом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ами</w:t>
      </w:r>
      <w:proofErr w:type="spellEnd"/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</w:p>
    <w:p w:rsidR="008D136B" w:rsidRPr="00CA4A7F" w:rsidRDefault="009769F2" w:rsidP="00CA4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течении</w:t>
      </w:r>
      <w:r w:rsidR="00BF1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3D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136B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_________________________(суток) со дня подписания договора.</w:t>
      </w:r>
    </w:p>
    <w:p w:rsidR="009375E7" w:rsidRPr="00CA4A7F" w:rsidRDefault="00761281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ПОТРЕБИТЕЛЬ имеет право получить бесплатную медицинскую помощь в рамках Программы  государственных гарантий бесплатного оказания гражданам РФ медицинской помощи, утвержденной Министерством здравоохранения РФ, но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изъявляет желание получить медицинские услуги, не включенные в вышеуказанную программу на платной основе у ИСПОЛНИТЕЛЯ.    </w:t>
      </w:r>
    </w:p>
    <w:p w:rsidR="00873851" w:rsidRPr="00CA4A7F" w:rsidRDefault="009769F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1257E9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99340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 Без согласия ПОТРЕБИТЕЛЯ ИСПОЛНИТЕЛЬ не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</w:t>
      </w:r>
      <w:r w:rsidR="0099340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предоставить дополнительные медицинские услуги на возмездной основе.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ПОТРЕБИТЕЛЬ при внезапных острых заболеваниях, состояниях, обострениях хронических заболеваний, такие медицинск</w:t>
      </w:r>
      <w:r w:rsidR="0087385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ие услуги оказываются б</w:t>
      </w:r>
      <w:r w:rsidR="009375E7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ез взимания платы </w:t>
      </w:r>
      <w:r w:rsidR="00873851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Федеральным законом « Об основах охраны здоровья граждан в Российской Федерации».</w:t>
      </w:r>
    </w:p>
    <w:p w:rsidR="005A723A" w:rsidRPr="00CA4A7F" w:rsidRDefault="005A723A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3.Стоимость платных медицинских услуг, срок и порядок их оплаты.</w:t>
      </w:r>
    </w:p>
    <w:p w:rsidR="005A723A" w:rsidRDefault="005A723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3.1.Стоимость предоставления медицинской услуги, согласно п.1.1 договора состаляет_______________________________________________</w:t>
      </w:r>
      <w:r w:rsidR="00F67AA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="00DC21D8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4B7E2F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</w:p>
    <w:p w:rsidR="00DC21D8" w:rsidRPr="00CA4A7F" w:rsidRDefault="00DC21D8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</w:t>
      </w:r>
    </w:p>
    <w:p w:rsidR="00DC21D8" w:rsidRDefault="00DC21D8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A723A" w:rsidRPr="00CA4A7F" w:rsidRDefault="009375E7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3.2. ПОТРЕБИТ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ЕЛЬ обязуется оплатить получаемую Услугу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выполненную в полном объёме после её принятия ПОТРЕБИТЕЛЕМ. С согласия ПОТРЕБИТЕЛЯ услуга может быть оплачена им при заключении договора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порядке 100% предоплаты до получения Услуги путем внесе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ния наличных денежных средств в 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кассу Учреждения, согласно действующим </w:t>
      </w:r>
      <w:r w:rsidR="00C93B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утвержденным </w:t>
      </w:r>
      <w:r w:rsidR="00DC21D8">
        <w:rPr>
          <w:rFonts w:ascii="Times New Roman" w:hAnsi="Times New Roman" w:cs="Times New Roman"/>
          <w:color w:val="000000" w:themeColor="text1"/>
          <w:sz w:val="20"/>
          <w:szCs w:val="20"/>
        </w:rPr>
        <w:t>тарифам,</w:t>
      </w:r>
      <w:r w:rsidR="005A723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ИСПОЛНИТЕЛЬ  </w:t>
      </w:r>
      <w:r w:rsidR="00EE4C42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обязан выдать ПОТРЕБИТЕЛЮ кассовый чек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E4C42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(квитанцию), подтверждающий приём наличных денег. ПОТРЕБИТЕЛЬ  с порядком, условиями и оплатой указанной медицинской услуги ознакомлен и согласен.</w:t>
      </w:r>
    </w:p>
    <w:p w:rsidR="00EE4C42" w:rsidRPr="00CA4A7F" w:rsidRDefault="00EE4C4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3.3. ИСПОЛНИТЕЛЬ после исполнения договора выдаёт ПОТРЕБИТЕЛЮ медицинские документы (копии медицинских документов, выписки из медицинских документов)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отражающие состояние его здоровья после получения платных медицинских услуг</w:t>
      </w:r>
      <w:r w:rsidR="001322D6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010CD" w:rsidRPr="00CA4A7F" w:rsidRDefault="003010CD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Ответственность сторон</w:t>
      </w:r>
    </w:p>
    <w:p w:rsidR="003010CD" w:rsidRPr="00CA4A7F" w:rsidRDefault="003010CD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4.1. В случае неисполнения или ненадлежащего исполнения сторонами своих обязательств по настоящему договору,</w:t>
      </w:r>
      <w:r w:rsidR="005C7B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стороны несут ответственность в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соответствии с действующим законодательством РФ. ИСПОЛНИТЕЛЬ не несёт ответственности (за результаты оказания услуги) в случаях несоблюдения ПОТРЕБИТЕЛЕМ </w:t>
      </w:r>
      <w:r w:rsidR="00C93B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рекомендаций 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по лечению и иных неправомерных действий.</w:t>
      </w:r>
    </w:p>
    <w:p w:rsidR="003010CD" w:rsidRPr="00CA4A7F" w:rsidRDefault="003010CD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4.2. В случае</w:t>
      </w:r>
      <w:r w:rsidR="000F415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возникновения споров по вопросам, предусмотренным настоящим Договором или в связи с ним, Стороны примут все меры к разрешению их путём переговоров. В случае невозможности их разрешения таким путём они будут рассмотрены в соответствии с порядком, установленным законодательством.</w:t>
      </w:r>
    </w:p>
    <w:p w:rsidR="000F415A" w:rsidRPr="00CA4A7F" w:rsidRDefault="000F415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4.3. Вред</w:t>
      </w:r>
      <w:r w:rsidR="00621F6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 п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ричинённый жизни или здоровью ПОТРЕБИТЕЛЮ в результате</w:t>
      </w:r>
      <w:r w:rsidR="00621F65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предоставления некачественной платной медицинской услуги, подлежит возмещению ИСПОЛНИТЕЛЕМ  в соответствии с законодательством РФ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84F38" w:rsidRPr="00CA4A7F" w:rsidRDefault="00184F38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Порядок изменения и расторжения договора</w:t>
      </w:r>
    </w:p>
    <w:p w:rsidR="00184F38" w:rsidRPr="00CA4A7F" w:rsidRDefault="00526007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составлен в двух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</w:t>
      </w:r>
      <w:r w:rsidR="001719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Каждый из них имеет одинаковую юридическую силу. Вступает в силу с момента его подписания и действует до получения ПОТРЕБИТЕЛЕМ Услуги. Настоящий договор без подписания ПОТРЕБИТЕЛЕМ </w:t>
      </w:r>
      <w:r w:rsidR="00B011C7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юридической силы не имеет.</w:t>
      </w:r>
    </w:p>
    <w:p w:rsidR="005A723A" w:rsidRPr="00CA4A7F" w:rsidRDefault="001928C2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5.2. Договор будет считаться прекращённым после выполнения всех</w:t>
      </w:r>
      <w:r w:rsidR="00CD37E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взаимных обязательств и урегулирования всех расчётов между сторонами. В случае отказа ПОТРЕБИТЕЛЯ посл</w:t>
      </w:r>
      <w:r w:rsidR="009769F2">
        <w:rPr>
          <w:rFonts w:ascii="Times New Roman" w:hAnsi="Times New Roman" w:cs="Times New Roman"/>
          <w:color w:val="000000" w:themeColor="text1"/>
          <w:sz w:val="20"/>
          <w:szCs w:val="20"/>
        </w:rPr>
        <w:t>е заключения договора от получения</w:t>
      </w:r>
      <w:r w:rsidR="00CD37EA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медицинских услуг договор расторгается. ИСПОЛНИТЕЛЬ  информирует ПОТРЕБИТЕЛЯ о расторжении договора по инициативе ПОТРЕБИТЕЛЕМ, при этом ПОТРЕБИТЕЛЬ оплачивает ИСПОЛНИТЕЛЮ фактически понесённые ИСПОЛНИТЕЛЕМ расходы, связанные с исполнением обязательств по договору.</w:t>
      </w:r>
    </w:p>
    <w:p w:rsidR="00CD37EA" w:rsidRPr="00CA4A7F" w:rsidRDefault="00CD37EA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5.3. Любые изменения и </w:t>
      </w:r>
      <w:r w:rsidR="006B70BE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656F91" w:rsidRDefault="006B70BE" w:rsidP="00EB7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5.4. Стороны признают равную юридическую силу собственноручной подписи и факсимильной подписи настоящего договора, а также на иных документах, имею</w:t>
      </w:r>
      <w:r w:rsidR="00CA4A7F"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щих значение для его исполнения</w:t>
      </w:r>
      <w:r w:rsidRPr="00CA4A7F">
        <w:rPr>
          <w:rFonts w:ascii="Times New Roman" w:hAnsi="Times New Roman" w:cs="Times New Roman"/>
          <w:color w:val="000000" w:themeColor="text1"/>
          <w:sz w:val="20"/>
          <w:szCs w:val="20"/>
        </w:rPr>
        <w:t>, изменения и прекращения.</w:t>
      </w:r>
    </w:p>
    <w:p w:rsidR="00EB7026" w:rsidRPr="00C36A6C" w:rsidRDefault="00C36A6C" w:rsidP="00C36A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36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EB7026" w:rsidRPr="00C36A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Юридические адреса и подписи сторон</w:t>
      </w:r>
    </w:p>
    <w:tbl>
      <w:tblPr>
        <w:tblStyle w:val="a3"/>
        <w:tblW w:w="11016" w:type="dxa"/>
        <w:tblLook w:val="04A0" w:firstRow="1" w:lastRow="0" w:firstColumn="1" w:lastColumn="0" w:noHBand="0" w:noVBand="1"/>
      </w:tblPr>
      <w:tblGrid>
        <w:gridCol w:w="5495"/>
        <w:gridCol w:w="5521"/>
      </w:tblGrid>
      <w:tr w:rsidR="00EB7026" w:rsidTr="000E21DF">
        <w:trPr>
          <w:trHeight w:val="1756"/>
        </w:trPr>
        <w:tc>
          <w:tcPr>
            <w:tcW w:w="5495" w:type="dxa"/>
          </w:tcPr>
          <w:p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«Исполнитель»</w:t>
            </w:r>
          </w:p>
          <w:p w:rsidR="005E52F7" w:rsidRDefault="005E52F7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458D" w:rsidRDefault="0032458D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ГБУЗ Р</w:t>
            </w:r>
            <w:r w:rsidR="00DC0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еспублики </w:t>
            </w: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C06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ордовия</w:t>
            </w:r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Ардатовская</w:t>
            </w:r>
            <w:proofErr w:type="spellEnd"/>
            <w:r w:rsidRP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РБ»</w:t>
            </w:r>
          </w:p>
          <w:p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0E21D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431860,</w:t>
            </w:r>
            <w:r w:rsidR="0014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Республика Мордовия,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Ардатов,</w:t>
            </w:r>
          </w:p>
          <w:p w:rsidR="00EB7026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</w:t>
            </w:r>
            <w:r w:rsidR="00F67A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Луначарского, д.1</w:t>
            </w:r>
          </w:p>
          <w:p w:rsidR="001400B9" w:rsidRPr="00CA4A7F" w:rsidRDefault="001400B9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Тел./факс (883431) 31-073, 32-338</w:t>
            </w:r>
          </w:p>
          <w:p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1301060541/</w:t>
            </w:r>
            <w:r w:rsidR="001400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КПП 130101001</w:t>
            </w:r>
          </w:p>
          <w:p w:rsidR="003C7B47" w:rsidRDefault="00422C4F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ОГРН 1021300547828 зарегистрирован Межрайонной инспекцией Федеральной налоговой службы №3 по Республике Мордовия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сентября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за гос. рег. 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C7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омером</w:t>
            </w:r>
            <w:r w:rsidR="0068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001459103</w:t>
            </w:r>
          </w:p>
          <w:p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Р/с </w:t>
            </w:r>
            <w:r w:rsidR="00DC068A" w:rsidRPr="00DC068A">
              <w:rPr>
                <w:rFonts w:ascii="Times New Roman" w:hAnsi="Times New Roman" w:cs="Times New Roman"/>
                <w:sz w:val="20"/>
              </w:rPr>
              <w:t>406018</w:t>
            </w:r>
            <w:r w:rsidR="00C468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C068A" w:rsidRPr="00DC068A">
              <w:rPr>
                <w:rFonts w:ascii="Times New Roman" w:hAnsi="Times New Roman" w:cs="Times New Roman"/>
                <w:sz w:val="20"/>
              </w:rPr>
              <w:t>10552891000001</w:t>
            </w:r>
          </w:p>
          <w:p w:rsidR="0032458D" w:rsidRDefault="0068309E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Отделение НБ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="00377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еспублик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3245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</w:t>
            </w:r>
            <w:r w:rsidR="00377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ордовия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048952001</w:t>
            </w:r>
          </w:p>
          <w:p w:rsidR="001B05FC" w:rsidRDefault="001B05F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7026" w:rsidRPr="00AE0886" w:rsidRDefault="00DC068A" w:rsidP="00EB70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г</w:t>
            </w:r>
            <w:r w:rsidR="00EB7026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EB7026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EB7026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_________________</w:t>
            </w:r>
            <w:r w:rsidR="00F67AAE" w:rsidRPr="00AE08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А.И. Воробьёв</w:t>
            </w:r>
          </w:p>
          <w:p w:rsidR="003E481C" w:rsidRDefault="003E481C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7026" w:rsidRDefault="00F67AAE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  <w:p w:rsidR="00EB7026" w:rsidRDefault="00EB7026" w:rsidP="00CA4A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7026" w:rsidRDefault="00EB7026" w:rsidP="00CA4A7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1" w:type="dxa"/>
          </w:tcPr>
          <w:p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«Потребитель»</w:t>
            </w:r>
          </w:p>
          <w:p w:rsidR="00EB7026" w:rsidRPr="00CA4A7F" w:rsidRDefault="00EB7026" w:rsidP="00EB70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места жительства,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</w:t>
            </w:r>
          </w:p>
          <w:p w:rsidR="00EB7026" w:rsidRPr="00CA4A7F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</w:t>
            </w:r>
            <w:r w:rsidR="003E48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  <w:p w:rsidR="00AE0886" w:rsidRDefault="00AE088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EB7026" w:rsidRPr="00CA4A7F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Паспорт_______________________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</w:t>
            </w:r>
          </w:p>
          <w:p w:rsidR="00EB7026" w:rsidRDefault="00EB7026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Выдан___________________________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</w:t>
            </w:r>
          </w:p>
          <w:p w:rsidR="00533FDB" w:rsidRPr="00CA4A7F" w:rsidRDefault="00533FDB" w:rsidP="00533FD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</w:t>
            </w:r>
          </w:p>
          <w:p w:rsidR="00EB7026" w:rsidRDefault="00EB7026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AE08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A4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О________________________________</w:t>
            </w:r>
          </w:p>
          <w:p w:rsidR="003E481C" w:rsidRDefault="003E481C" w:rsidP="00533FD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__________________ (подпись потребителя)</w:t>
            </w:r>
          </w:p>
          <w:p w:rsidR="003E481C" w:rsidRDefault="003E481C" w:rsidP="003E48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E481C" w:rsidRPr="00C62019" w:rsidRDefault="003E481C" w:rsidP="00C62019">
      <w:pPr>
        <w:tabs>
          <w:tab w:val="left" w:pos="8300"/>
        </w:tabs>
        <w:rPr>
          <w:rFonts w:ascii="Times New Roman" w:hAnsi="Times New Roman" w:cs="Times New Roman"/>
          <w:sz w:val="20"/>
          <w:szCs w:val="20"/>
        </w:rPr>
      </w:pPr>
    </w:p>
    <w:sectPr w:rsidR="003E481C" w:rsidRPr="00C62019" w:rsidSect="00EB7026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01"/>
    <w:rsid w:val="00035ED5"/>
    <w:rsid w:val="00050D76"/>
    <w:rsid w:val="000651AE"/>
    <w:rsid w:val="00083D75"/>
    <w:rsid w:val="000D7464"/>
    <w:rsid w:val="000E21DF"/>
    <w:rsid w:val="000F415A"/>
    <w:rsid w:val="000F4C8A"/>
    <w:rsid w:val="001257E9"/>
    <w:rsid w:val="001322D6"/>
    <w:rsid w:val="001400B9"/>
    <w:rsid w:val="0017197B"/>
    <w:rsid w:val="00184F38"/>
    <w:rsid w:val="001928C2"/>
    <w:rsid w:val="001B05FC"/>
    <w:rsid w:val="001F3E95"/>
    <w:rsid w:val="00237DDB"/>
    <w:rsid w:val="003010CD"/>
    <w:rsid w:val="0030494B"/>
    <w:rsid w:val="0032458D"/>
    <w:rsid w:val="003328A8"/>
    <w:rsid w:val="00377CC6"/>
    <w:rsid w:val="00384CBE"/>
    <w:rsid w:val="003C7B47"/>
    <w:rsid w:val="003E2C6A"/>
    <w:rsid w:val="003E481C"/>
    <w:rsid w:val="00422C4F"/>
    <w:rsid w:val="004B7E2F"/>
    <w:rsid w:val="00504A74"/>
    <w:rsid w:val="00514C83"/>
    <w:rsid w:val="00526007"/>
    <w:rsid w:val="00533FDB"/>
    <w:rsid w:val="00536AB4"/>
    <w:rsid w:val="00537443"/>
    <w:rsid w:val="005429AD"/>
    <w:rsid w:val="005705A2"/>
    <w:rsid w:val="005A723A"/>
    <w:rsid w:val="005C0C91"/>
    <w:rsid w:val="005C7B02"/>
    <w:rsid w:val="005E52F7"/>
    <w:rsid w:val="005F6DF2"/>
    <w:rsid w:val="00605422"/>
    <w:rsid w:val="00621F65"/>
    <w:rsid w:val="00646716"/>
    <w:rsid w:val="00656F91"/>
    <w:rsid w:val="006733B9"/>
    <w:rsid w:val="0068309E"/>
    <w:rsid w:val="006A71BB"/>
    <w:rsid w:val="006B70BE"/>
    <w:rsid w:val="006C191E"/>
    <w:rsid w:val="006F7B11"/>
    <w:rsid w:val="007136D8"/>
    <w:rsid w:val="00761281"/>
    <w:rsid w:val="00761B92"/>
    <w:rsid w:val="007D4D0E"/>
    <w:rsid w:val="007D777B"/>
    <w:rsid w:val="007F25E4"/>
    <w:rsid w:val="00844896"/>
    <w:rsid w:val="0086067F"/>
    <w:rsid w:val="008641F0"/>
    <w:rsid w:val="0086709A"/>
    <w:rsid w:val="00873851"/>
    <w:rsid w:val="008D136B"/>
    <w:rsid w:val="008D284D"/>
    <w:rsid w:val="009375E7"/>
    <w:rsid w:val="009769F2"/>
    <w:rsid w:val="0099340A"/>
    <w:rsid w:val="009934EA"/>
    <w:rsid w:val="009A06C5"/>
    <w:rsid w:val="009C2993"/>
    <w:rsid w:val="00A066D7"/>
    <w:rsid w:val="00AC0D6E"/>
    <w:rsid w:val="00AE0886"/>
    <w:rsid w:val="00AE4006"/>
    <w:rsid w:val="00AE5B3B"/>
    <w:rsid w:val="00AF1290"/>
    <w:rsid w:val="00B011C7"/>
    <w:rsid w:val="00B64BE2"/>
    <w:rsid w:val="00B77529"/>
    <w:rsid w:val="00BA642F"/>
    <w:rsid w:val="00BE114A"/>
    <w:rsid w:val="00BF18D1"/>
    <w:rsid w:val="00C36A6C"/>
    <w:rsid w:val="00C468D1"/>
    <w:rsid w:val="00C62019"/>
    <w:rsid w:val="00C84801"/>
    <w:rsid w:val="00C93B21"/>
    <w:rsid w:val="00CA4A7F"/>
    <w:rsid w:val="00CD37EA"/>
    <w:rsid w:val="00CE5F84"/>
    <w:rsid w:val="00D60CB1"/>
    <w:rsid w:val="00DC068A"/>
    <w:rsid w:val="00DC21D8"/>
    <w:rsid w:val="00DC4EF1"/>
    <w:rsid w:val="00E076AC"/>
    <w:rsid w:val="00E14E27"/>
    <w:rsid w:val="00E17FF4"/>
    <w:rsid w:val="00E206D5"/>
    <w:rsid w:val="00E83830"/>
    <w:rsid w:val="00EB7026"/>
    <w:rsid w:val="00EE4C42"/>
    <w:rsid w:val="00F123E1"/>
    <w:rsid w:val="00F14521"/>
    <w:rsid w:val="00F67AAE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Svyatkina_EA</dc:creator>
  <cp:lastModifiedBy>Пользователь Windows</cp:lastModifiedBy>
  <cp:revision>3</cp:revision>
  <cp:lastPrinted>2019-04-05T06:23:00Z</cp:lastPrinted>
  <dcterms:created xsi:type="dcterms:W3CDTF">2019-04-03T11:37:00Z</dcterms:created>
  <dcterms:modified xsi:type="dcterms:W3CDTF">2019-04-05T06:26:00Z</dcterms:modified>
</cp:coreProperties>
</file>