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D" w:rsidRDefault="0088372D" w:rsidP="0088372D">
      <w:pPr>
        <w:pStyle w:val="df"/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b/>
          <w:bCs/>
          <w:color w:val="444444"/>
          <w:sz w:val="27"/>
          <w:szCs w:val="27"/>
        </w:rPr>
      </w:pPr>
      <w:r>
        <w:rPr>
          <w:rFonts w:ascii="inherit" w:hAnsi="inherit" w:cs="Arial"/>
          <w:b/>
          <w:bCs/>
          <w:color w:val="444444"/>
          <w:sz w:val="27"/>
          <w:szCs w:val="27"/>
        </w:rPr>
        <w:t>Уважаемые пациенты, ниже представлены рекомендации для подготовки к отдельным видам лабораторных исследований. Соблюдение рекомендаций положительно влияет на точность и достоверность результата.</w:t>
      </w:r>
    </w:p>
    <w:p w:rsidR="0088372D" w:rsidRDefault="0088372D" w:rsidP="0088372D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Основные пред аналитические факторы, которые могут повлиять на результат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Лекарства</w:t>
      </w:r>
      <w:r>
        <w:rPr>
          <w:rFonts w:ascii="inherit" w:hAnsi="inherit" w:cs="Arial"/>
          <w:color w:val="000000"/>
        </w:rPr>
        <w:t> (влияние лекарственных препаратов на результаты лабораторных тестов разноплановое и не всегда предсказуемое)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Прием пищи</w:t>
      </w:r>
      <w:r>
        <w:rPr>
          <w:rFonts w:ascii="inherit" w:hAnsi="inherit" w:cs="Arial"/>
          <w:color w:val="000000"/>
        </w:rPr>
        <w:t> (</w:t>
      </w:r>
      <w:proofErr w:type="gramStart"/>
      <w:r>
        <w:rPr>
          <w:rFonts w:ascii="inherit" w:hAnsi="inherit" w:cs="Arial"/>
          <w:color w:val="000000"/>
        </w:rPr>
        <w:t>возможно</w:t>
      </w:r>
      <w:proofErr w:type="gramEnd"/>
      <w:r>
        <w:rPr>
          <w:rFonts w:ascii="inherit" w:hAnsi="inherit" w:cs="Arial"/>
          <w:color w:val="000000"/>
        </w:rPr>
        <w:t xml:space="preserve"> как прямое влияние за счет всасывания компонентов пищи, так и косвенное – сдвиги уровня гормонов в ответ на прием пищи, влияние мутности пробы, связанной с повышенным содержанием жировых частиц).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Физические и эмоциональные перегрузки</w:t>
      </w:r>
      <w:r>
        <w:rPr>
          <w:rFonts w:ascii="inherit" w:hAnsi="inherit" w:cs="Arial"/>
          <w:color w:val="000000"/>
        </w:rPr>
        <w:t> (вызывают гормональные и биохимические перестройки)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Алкоголь</w:t>
      </w:r>
      <w:r>
        <w:rPr>
          <w:rFonts w:ascii="inherit" w:hAnsi="inherit" w:cs="Arial"/>
          <w:color w:val="000000"/>
        </w:rPr>
        <w:t> (оказывает острые и хронические эффекты на многие процессы метаболизма)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Курение</w:t>
      </w:r>
      <w:r>
        <w:rPr>
          <w:rFonts w:ascii="inherit" w:hAnsi="inherit" w:cs="Arial"/>
          <w:color w:val="000000"/>
        </w:rPr>
        <w:t> (изменяет секрецию некоторых биологически активных веществ)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b/>
          <w:bCs/>
          <w:color w:val="000000"/>
        </w:rPr>
        <w:t>Физиопроцедуры</w:t>
      </w:r>
      <w:proofErr w:type="spellEnd"/>
      <w:r>
        <w:rPr>
          <w:rFonts w:ascii="inherit" w:hAnsi="inherit" w:cs="Arial"/>
          <w:b/>
          <w:bCs/>
          <w:color w:val="000000"/>
        </w:rPr>
        <w:t>, инструментальные обследования</w:t>
      </w:r>
      <w:r>
        <w:rPr>
          <w:rFonts w:ascii="inherit" w:hAnsi="inherit" w:cs="Arial"/>
          <w:color w:val="000000"/>
        </w:rPr>
        <w:t> (могут вызвать временное изменение некоторых лабораторных параметров)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Фаза менструального цикла у женщин</w:t>
      </w:r>
      <w:r>
        <w:rPr>
          <w:rFonts w:ascii="inherit" w:hAnsi="inherit" w:cs="Arial"/>
          <w:color w:val="000000"/>
        </w:rPr>
        <w:t xml:space="preserve"> (значима для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</w:t>
      </w:r>
      <w:proofErr w:type="spellStart"/>
      <w:r>
        <w:rPr>
          <w:rFonts w:ascii="inherit" w:hAnsi="inherit" w:cs="Arial"/>
          <w:color w:val="000000"/>
        </w:rPr>
        <w:t>эстрадиола</w:t>
      </w:r>
      <w:proofErr w:type="spellEnd"/>
      <w:r>
        <w:rPr>
          <w:rFonts w:ascii="inherit" w:hAnsi="inherit" w:cs="Arial"/>
          <w:color w:val="000000"/>
        </w:rPr>
        <w:t xml:space="preserve">, 17-ОН-прогестерона, </w:t>
      </w:r>
      <w:proofErr w:type="spellStart"/>
      <w:r>
        <w:rPr>
          <w:rFonts w:ascii="inherit" w:hAnsi="inherit" w:cs="Arial"/>
          <w:color w:val="000000"/>
        </w:rPr>
        <w:t>андростендиона</w:t>
      </w:r>
      <w:proofErr w:type="spellEnd"/>
      <w:r>
        <w:rPr>
          <w:rFonts w:ascii="inherit" w:hAnsi="inherit" w:cs="Arial"/>
          <w:color w:val="000000"/>
        </w:rPr>
        <w:t xml:space="preserve">, </w:t>
      </w:r>
      <w:proofErr w:type="spellStart"/>
      <w:r>
        <w:rPr>
          <w:rFonts w:ascii="inherit" w:hAnsi="inherit" w:cs="Arial"/>
          <w:color w:val="000000"/>
        </w:rPr>
        <w:t>ингибина</w:t>
      </w:r>
      <w:proofErr w:type="spellEnd"/>
      <w:r>
        <w:rPr>
          <w:rFonts w:ascii="inherit" w:hAnsi="inherit" w:cs="Arial"/>
          <w:color w:val="000000"/>
        </w:rPr>
        <w:t>, АМГ)</w:t>
      </w:r>
    </w:p>
    <w:p w:rsidR="0088372D" w:rsidRDefault="0088372D" w:rsidP="0088372D">
      <w:pPr>
        <w:pStyle w:val="df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olor w:val="000000"/>
        </w:rPr>
        <w:t>Время суток при взятии крови</w:t>
      </w:r>
      <w:r>
        <w:rPr>
          <w:rFonts w:ascii="inherit" w:hAnsi="inherit" w:cs="Arial"/>
          <w:color w:val="000000"/>
        </w:rPr>
        <w:t xml:space="preserve"> 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</w:t>
      </w:r>
      <w:proofErr w:type="spellStart"/>
      <w:r>
        <w:rPr>
          <w:rFonts w:ascii="inherit" w:hAnsi="inherit" w:cs="Arial"/>
          <w:color w:val="000000"/>
        </w:rPr>
        <w:t>референсные</w:t>
      </w:r>
      <w:proofErr w:type="spellEnd"/>
      <w:r>
        <w:rPr>
          <w:rFonts w:ascii="inherit" w:hAnsi="inherit" w:cs="Arial"/>
          <w:color w:val="000000"/>
        </w:rPr>
        <w:t xml:space="preserve"> значения – границы "нормы" – обычно отражают статистические данные, полученные в стандартных условиях, при взятии крови в утреннее время).</w:t>
      </w:r>
    </w:p>
    <w:p w:rsidR="0088372D" w:rsidRDefault="0088372D" w:rsidP="0088372D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Общие правила при подготовке к исследованию</w:t>
      </w:r>
    </w:p>
    <w:p w:rsidR="0088372D" w:rsidRDefault="0088372D" w:rsidP="0088372D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которых зависимы от физиологического состояния человека: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Если вы принимаете какие-то лекарственные препараты –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</w:t>
      </w:r>
      <w:r>
        <w:rPr>
          <w:rFonts w:ascii="inherit" w:hAnsi="inherit" w:cs="Arial"/>
          <w:color w:val="000000"/>
        </w:rPr>
        <w:lastRenderedPageBreak/>
        <w:t>выведения препарата из крови (в среднем, рекомендуют выждать 4-5 периодов полувыведения препарата, указанного в аннотации).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Алкоголь – исключить прием алкоголя накануне исследования.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Курение – не курить минимально в течение 1 часа до исследования.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Исключить физические и эмоциональные перегрузки накануне исследования.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После прихода в лабораторию отдохнуть (лучше – посидеть) 10-20 минут перед взятием проб крови.</w:t>
      </w:r>
    </w:p>
    <w:p w:rsidR="0088372D" w:rsidRDefault="0088372D" w:rsidP="0088372D">
      <w:pPr>
        <w:pStyle w:val="df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440361" w:rsidRDefault="00440361">
      <w:bookmarkStart w:id="0" w:name="_GoBack"/>
      <w:bookmarkEnd w:id="0"/>
    </w:p>
    <w:sectPr w:rsidR="0044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867"/>
    <w:multiLevelType w:val="multilevel"/>
    <w:tmpl w:val="ACB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6265F"/>
    <w:multiLevelType w:val="multilevel"/>
    <w:tmpl w:val="8C8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F"/>
    <w:rsid w:val="00440361"/>
    <w:rsid w:val="0088372D"/>
    <w:rsid w:val="00A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F29"/>
  <w15:chartTrackingRefBased/>
  <w15:docId w15:val="{3910C59F-A0E9-452B-A650-4DF107C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">
    <w:name w:val="df_"/>
    <w:basedOn w:val="a"/>
    <w:rsid w:val="008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8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39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5" w:color="94C34A"/>
            <w:bottom w:val="none" w:sz="0" w:space="0" w:color="auto"/>
            <w:right w:val="none" w:sz="0" w:space="0" w:color="auto"/>
          </w:divBdr>
        </w:div>
      </w:divsChild>
    </w:div>
    <w:div w:id="144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0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5" w:color="94C34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2019-09-18T19:33:00Z</dcterms:created>
  <dcterms:modified xsi:type="dcterms:W3CDTF">2019-09-18T19:33:00Z</dcterms:modified>
</cp:coreProperties>
</file>