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07" w:rsidRDefault="00AC0C07" w:rsidP="00AC0C07">
      <w:pPr>
        <w:pStyle w:val="contentheader"/>
        <w:spacing w:before="0" w:beforeAutospacing="0" w:after="0" w:afterAutospacing="0"/>
        <w:jc w:val="both"/>
        <w:textAlignment w:val="top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Права пациента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В соответствии со статьей 19 Федерального закона от21.11.2011 № 323–ФЗ «Об основах охраны здоровья граждан в Российской федерации» при обращении за медицинской помощью и ее получении пациент имеет право: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выбор врача и выбор медицинской организации в соответствии с настоящим Федеральным законом;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профилактику, диагностику, лечение, медицинскую реабилитацию в медицинских организациях в условиях, соответствующих санитарно–гигиеническим требованиям;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получение консультаций врачей–специалистов;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получение лечебного питания в случае нахождения пациента на лечении в стационарных условиях;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защиту сведений, составляющих врачебную тайну;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отказ от медицинского вмешательства;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возмещение вреда, причиненного здоровью при оказании ему медицинской помощи;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допуск к нему адвоката или законного представителя для защиты своих прав;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AC0C07" w:rsidRDefault="00AC0C07" w:rsidP="00AC0C07">
      <w:pPr>
        <w:pStyle w:val="a3"/>
        <w:spacing w:before="0" w:beforeAutospacing="0" w:after="0" w:afterAutospacing="0"/>
        <w:textAlignment w:val="top"/>
      </w:pPr>
    </w:p>
    <w:p w:rsidR="00AC0C07" w:rsidRDefault="00AC0C07" w:rsidP="00AC0C07">
      <w:pPr>
        <w:pStyle w:val="contentheader"/>
        <w:spacing w:before="0" w:beforeAutospacing="0" w:after="0" w:afterAutospacing="0"/>
        <w:jc w:val="both"/>
        <w:textAlignment w:val="top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Обязанности граждан в сфере охраны здоровья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В соответствии со статьей 19 Федерального закона от 21.11.2011 № 323–ФЗ «Об основах охраны здоровья граждан в Российской федерации»: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граждане обязаны заботиться о сохранении своего здоровья;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граждане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C0C07" w:rsidRDefault="00AC0C07" w:rsidP="00AC0C07">
      <w:pPr>
        <w:pStyle w:val="a3"/>
        <w:spacing w:before="0" w:beforeAutospacing="0" w:after="0" w:afterAutospacing="0"/>
        <w:textAlignment w:val="top"/>
      </w:pPr>
    </w:p>
    <w:p w:rsidR="00AC0C07" w:rsidRDefault="00AC0C07" w:rsidP="00AC0C07">
      <w:pPr>
        <w:pStyle w:val="contentheader"/>
        <w:spacing w:before="0" w:beforeAutospacing="0" w:after="0" w:afterAutospacing="0"/>
        <w:jc w:val="both"/>
        <w:textAlignment w:val="top"/>
        <w:rPr>
          <w:rFonts w:ascii="inherit" w:hAnsi="inherit"/>
          <w:b/>
          <w:bCs/>
        </w:rPr>
      </w:pPr>
      <w:r>
        <w:rPr>
          <w:rFonts w:ascii="inherit" w:hAnsi="inherit"/>
          <w:b/>
          <w:bCs/>
        </w:rPr>
        <w:t>Застрахованные лица обязаны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lastRenderedPageBreak/>
        <w:t>- уведомить страховую медицинскую организацию об изменении фамилии, имени, отчества, места жительства в течении одного месяца со дня, когда эти изменения произошли;</w:t>
      </w:r>
    </w:p>
    <w:p w:rsidR="00AC0C07" w:rsidRDefault="00AC0C07" w:rsidP="00AC0C07">
      <w:pPr>
        <w:pStyle w:val="contenttext"/>
        <w:spacing w:before="0" w:beforeAutospacing="0" w:after="0" w:afterAutospacing="0"/>
        <w:ind w:firstLine="300"/>
        <w:jc w:val="both"/>
        <w:textAlignment w:val="top"/>
        <w:rPr>
          <w:rFonts w:ascii="inherit" w:hAnsi="inherit"/>
        </w:rPr>
      </w:pPr>
      <w:r>
        <w:rPr>
          <w:rFonts w:ascii="inherit" w:hAnsi="inherit"/>
        </w:rPr>
        <w:t>- 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1325EB" w:rsidRDefault="001325EB">
      <w:bookmarkStart w:id="0" w:name="_GoBack"/>
      <w:bookmarkEnd w:id="0"/>
    </w:p>
    <w:sectPr w:rsidR="0013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50"/>
    <w:rsid w:val="001325EB"/>
    <w:rsid w:val="00AC0C07"/>
    <w:rsid w:val="00E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9F2FA-805B-45F8-BC5A-2DA7777B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">
    <w:name w:val="content_header"/>
    <w:basedOn w:val="a"/>
    <w:rsid w:val="00A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A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2019-10-10T11:52:00Z</dcterms:created>
  <dcterms:modified xsi:type="dcterms:W3CDTF">2019-10-10T11:52:00Z</dcterms:modified>
</cp:coreProperties>
</file>