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jc w:val="center"/>
        <w:tblCellSpacing w:w="15" w:type="dxa"/>
        <w:shd w:val="clear" w:color="auto" w:fill="F0EFF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7"/>
        <w:gridCol w:w="1873"/>
        <w:gridCol w:w="779"/>
        <w:gridCol w:w="1003"/>
        <w:gridCol w:w="2835"/>
        <w:gridCol w:w="1248"/>
      </w:tblGrid>
      <w:tr w:rsidR="009D53E7" w:rsidRPr="009D53E7" w14:paraId="625DFE29" w14:textId="77777777" w:rsidTr="009D53E7">
        <w:trPr>
          <w:trHeight w:val="561"/>
          <w:tblCellSpacing w:w="15" w:type="dxa"/>
          <w:jc w:val="center"/>
        </w:trPr>
        <w:tc>
          <w:tcPr>
            <w:tcW w:w="1877" w:type="dxa"/>
            <w:shd w:val="clear" w:color="auto" w:fill="FFFF66"/>
            <w:vAlign w:val="center"/>
            <w:hideMark/>
          </w:tcPr>
          <w:p w14:paraId="0D3F6976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b/>
                <w:bCs/>
                <w:color w:val="363535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720" w:type="dxa"/>
            <w:shd w:val="clear" w:color="auto" w:fill="FFFF66"/>
            <w:vAlign w:val="center"/>
            <w:hideMark/>
          </w:tcPr>
          <w:p w14:paraId="54BD9128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b/>
                <w:bCs/>
                <w:color w:val="36353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750" w:type="dxa"/>
            <w:shd w:val="clear" w:color="auto" w:fill="FFFF66"/>
            <w:vAlign w:val="center"/>
            <w:hideMark/>
          </w:tcPr>
          <w:p w14:paraId="07769BB4" w14:textId="300199E3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noProof/>
                <w:color w:val="363535"/>
                <w:sz w:val="21"/>
                <w:szCs w:val="21"/>
                <w:lang w:eastAsia="ru-RU"/>
              </w:rPr>
              <w:drawing>
                <wp:inline distT="0" distB="0" distL="0" distR="0" wp14:anchorId="3D5D8D3E" wp14:editId="529818F0">
                  <wp:extent cx="381000" cy="266700"/>
                  <wp:effectExtent l="0" t="0" r="0" b="0"/>
                  <wp:docPr id="3" name="Рисунок 3" descr="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shd w:val="clear" w:color="auto" w:fill="FFFF66"/>
            <w:vAlign w:val="center"/>
            <w:hideMark/>
          </w:tcPr>
          <w:p w14:paraId="6C3FF8A4" w14:textId="5D2BFC58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noProof/>
                <w:color w:val="363535"/>
                <w:sz w:val="21"/>
                <w:szCs w:val="21"/>
                <w:lang w:eastAsia="ru-RU"/>
              </w:rPr>
              <w:drawing>
                <wp:inline distT="0" distB="0" distL="0" distR="0" wp14:anchorId="49005E7C" wp14:editId="1D6C41FB">
                  <wp:extent cx="609600" cy="352425"/>
                  <wp:effectExtent l="0" t="0" r="0" b="9525"/>
                  <wp:docPr id="2" name="Рисунок 2" descr="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14:paraId="6D32AAE1" w14:textId="21A4FF82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noProof/>
                <w:color w:val="363535"/>
                <w:sz w:val="21"/>
                <w:szCs w:val="21"/>
                <w:lang w:eastAsia="ru-RU"/>
              </w:rPr>
              <w:drawing>
                <wp:inline distT="0" distB="0" distL="0" distR="0" wp14:anchorId="2E35A885" wp14:editId="184EC9EB">
                  <wp:extent cx="1019175" cy="333375"/>
                  <wp:effectExtent l="0" t="0" r="9525" b="9525"/>
                  <wp:docPr id="1" name="Рисунок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shd w:val="clear" w:color="auto" w:fill="FFFF66"/>
            <w:vAlign w:val="center"/>
            <w:hideMark/>
          </w:tcPr>
          <w:p w14:paraId="4BD26AF4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b/>
                <w:bCs/>
                <w:color w:val="363535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9D53E7" w:rsidRPr="009D53E7" w14:paraId="0A91F25A" w14:textId="77777777" w:rsidTr="009D53E7">
        <w:trPr>
          <w:trHeight w:val="753"/>
          <w:tblCellSpacing w:w="15" w:type="dxa"/>
          <w:jc w:val="center"/>
        </w:trPr>
        <w:tc>
          <w:tcPr>
            <w:tcW w:w="0" w:type="auto"/>
            <w:shd w:val="clear" w:color="auto" w:fill="99FFFF"/>
            <w:vAlign w:val="center"/>
            <w:hideMark/>
          </w:tcPr>
          <w:p w14:paraId="4AEC5DD6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Cаухат</w:t>
            </w:r>
            <w:proofErr w:type="spellEnd"/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Валерий Рафаилович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14:paraId="68D8A6A4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14:paraId="5A7DE1DB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(4132)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64-47-19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14:paraId="2A4E6733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99FFFF"/>
            <w:vAlign w:val="center"/>
            <w:hideMark/>
          </w:tcPr>
          <w:p w14:paraId="1CD9E4CC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hyperlink r:id="rId7" w:history="1">
              <w:r w:rsidRPr="009D53E7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lang w:eastAsia="ru-RU"/>
                </w:rPr>
                <w:t>medprofmag@yandex.ru</w:t>
              </w:r>
            </w:hyperlink>
          </w:p>
        </w:tc>
        <w:tc>
          <w:tcPr>
            <w:tcW w:w="0" w:type="auto"/>
            <w:shd w:val="clear" w:color="auto" w:fill="99FFFF"/>
            <w:vAlign w:val="center"/>
            <w:hideMark/>
          </w:tcPr>
          <w:p w14:paraId="6E2B34B5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Среда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 15-00 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до 17-00</w:t>
            </w:r>
          </w:p>
        </w:tc>
      </w:tr>
      <w:tr w:rsidR="009D53E7" w:rsidRPr="009D53E7" w14:paraId="1A8BAEC8" w14:textId="77777777" w:rsidTr="009D53E7">
        <w:trPr>
          <w:trHeight w:val="1255"/>
          <w:tblCellSpacing w:w="15" w:type="dxa"/>
          <w:jc w:val="center"/>
        </w:trPr>
        <w:tc>
          <w:tcPr>
            <w:tcW w:w="1877" w:type="dxa"/>
            <w:shd w:val="clear" w:color="auto" w:fill="99FFFF"/>
            <w:vAlign w:val="center"/>
            <w:hideMark/>
          </w:tcPr>
          <w:p w14:paraId="1C0B1E12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Гриднева Полина Владимировна</w:t>
            </w:r>
          </w:p>
        </w:tc>
        <w:tc>
          <w:tcPr>
            <w:tcW w:w="1720" w:type="dxa"/>
            <w:shd w:val="clear" w:color="auto" w:fill="99FFFF"/>
            <w:vAlign w:val="center"/>
            <w:hideMark/>
          </w:tcPr>
          <w:p w14:paraId="718D54EE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Зам. главного врача по организационно- методической работе</w:t>
            </w:r>
          </w:p>
        </w:tc>
        <w:tc>
          <w:tcPr>
            <w:tcW w:w="750" w:type="dxa"/>
            <w:shd w:val="clear" w:color="auto" w:fill="99FFFF"/>
            <w:vAlign w:val="center"/>
            <w:hideMark/>
          </w:tcPr>
          <w:p w14:paraId="560017BC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(4132)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65-38-33</w:t>
            </w:r>
          </w:p>
        </w:tc>
        <w:tc>
          <w:tcPr>
            <w:tcW w:w="883" w:type="dxa"/>
            <w:shd w:val="clear" w:color="auto" w:fill="99FFFF"/>
            <w:vAlign w:val="center"/>
            <w:hideMark/>
          </w:tcPr>
          <w:p w14:paraId="5C9B6914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(4132)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65-38-33</w:t>
            </w:r>
          </w:p>
        </w:tc>
        <w:tc>
          <w:tcPr>
            <w:tcW w:w="0" w:type="auto"/>
            <w:vMerge/>
            <w:shd w:val="clear" w:color="auto" w:fill="99FFFF"/>
            <w:vAlign w:val="center"/>
            <w:hideMark/>
          </w:tcPr>
          <w:p w14:paraId="511AFFAD" w14:textId="77777777" w:rsidR="009D53E7" w:rsidRPr="009D53E7" w:rsidRDefault="009D53E7" w:rsidP="009D53E7">
            <w:pPr>
              <w:spacing w:after="0" w:line="240" w:lineRule="auto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shd w:val="clear" w:color="auto" w:fill="99FFFF"/>
            <w:vAlign w:val="center"/>
            <w:hideMark/>
          </w:tcPr>
          <w:p w14:paraId="13CF80C5" w14:textId="77777777" w:rsidR="009D53E7" w:rsidRPr="009D53E7" w:rsidRDefault="009D53E7" w:rsidP="009D53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Ежедневно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 14-00 </w:t>
            </w:r>
            <w:r w:rsidRPr="009D53E7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до 16-00</w:t>
            </w:r>
          </w:p>
        </w:tc>
      </w:tr>
    </w:tbl>
    <w:p w14:paraId="7BBCDE62" w14:textId="77777777" w:rsidR="009D53E7" w:rsidRPr="009D53E7" w:rsidRDefault="009D53E7" w:rsidP="009D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B8EB840">
          <v:rect id="_x0000_i1028" style="width:0;height:1.5pt" o:hrstd="t" o:hrnoshade="t" o:hr="t" fillcolor="#363535" stroked="f"/>
        </w:pict>
      </w:r>
    </w:p>
    <w:p w14:paraId="17AC4A7E" w14:textId="77777777" w:rsidR="009D53E7" w:rsidRPr="009D53E7" w:rsidRDefault="009D53E7" w:rsidP="009D53E7">
      <w:pPr>
        <w:shd w:val="clear" w:color="auto" w:fill="F0EFF2"/>
        <w:spacing w:after="0" w:line="240" w:lineRule="auto"/>
        <w:jc w:val="center"/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</w:pPr>
      <w:r w:rsidRPr="009D53E7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ПОРЯДОК ПРИЕМА ГРАЖДАН</w:t>
      </w:r>
    </w:p>
    <w:p w14:paraId="47B28509" w14:textId="77777777" w:rsidR="009D53E7" w:rsidRPr="009D53E7" w:rsidRDefault="009D53E7" w:rsidP="009D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0000FF"/>
          <w:sz w:val="21"/>
          <w:szCs w:val="21"/>
          <w:shd w:val="clear" w:color="auto" w:fill="F0EFF2"/>
          <w:lang w:eastAsia="ru-RU"/>
        </w:rPr>
        <w:t>В соответствии со статьей 13 Федерального закона от 02 мая 2006 года № 59-ФЗ «О порядке рассмотрения обращений граждан Российской Федерации», личный прием граждан проводится руководителем учреждения и его заместителями.</w:t>
      </w:r>
      <w:r w:rsidRPr="009D53E7">
        <w:rPr>
          <w:rFonts w:ascii="Verdana" w:eastAsia="Times New Roman" w:hAnsi="Verdana" w:cs="Times New Roman"/>
          <w:color w:val="0000FF"/>
          <w:sz w:val="21"/>
          <w:szCs w:val="21"/>
          <w:shd w:val="clear" w:color="auto" w:fill="F0EFF2"/>
          <w:lang w:eastAsia="ru-RU"/>
        </w:rPr>
        <w:br/>
        <w:t>При личном приеме гражданин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26A68C21" w14:textId="77777777" w:rsidR="009D53E7" w:rsidRPr="009D53E7" w:rsidRDefault="009D53E7" w:rsidP="009D53E7">
      <w:pPr>
        <w:shd w:val="clear" w:color="auto" w:fill="F0EFF2"/>
        <w:spacing w:after="0" w:line="240" w:lineRule="auto"/>
        <w:jc w:val="center"/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</w:pPr>
      <w:r w:rsidRPr="009D53E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Порядок и сроки рассмотрения обращений</w:t>
      </w:r>
    </w:p>
    <w:p w14:paraId="7D15FA74" w14:textId="5E5A8A01" w:rsidR="00870087" w:rsidRDefault="009D53E7" w:rsidP="009D53E7"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>Все поступающие в ГБУЗ «Магаданский областной Центр медицинской профилактики» обращения граждан принимаются, учитываются и регистрируются в течение 3-х дней. Поступившие и зарегистрированные обращения граждан передаются на рассмотрение главному врачу или, согласно распределению обязанностей, его заместителю.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>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так далее), ответы не даются.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Обращения граждан, поступившие в ГБУЗ «Магаданский областной Центр медицинской профилактики» по информационным системам общего пользования, подлежат рассмотрению в общем порядке, если они отвечают требованиям, предъявляемым к письменным обращениям.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t xml:space="preserve">Письменные обращения граждан рассматриваются в течение 30 дней со дня их регистрации. В тех случаях, когда по обращению необходимо проведение дополнительной проверки либо принятие других мер, сроки рассмотрения </w:t>
      </w:r>
      <w:r w:rsidRPr="009D53E7">
        <w:rPr>
          <w:rFonts w:ascii="Verdana" w:eastAsia="Times New Roman" w:hAnsi="Verdana" w:cs="Times New Roman"/>
          <w:color w:val="363535"/>
          <w:sz w:val="21"/>
          <w:szCs w:val="21"/>
          <w:shd w:val="clear" w:color="auto" w:fill="F0EFF2"/>
          <w:lang w:eastAsia="ru-RU"/>
        </w:rPr>
        <w:lastRenderedPageBreak/>
        <w:t>обращений могут быть продлены не более чем на 30 дней с уведомлением об этом автора обращения.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E"/>
    <w:rsid w:val="00117239"/>
    <w:rsid w:val="003569FE"/>
    <w:rsid w:val="00870087"/>
    <w:rsid w:val="009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C257-8FFF-48C6-A5AC-D2FE5EE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pofmag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2019-08-05T02:49:00Z</dcterms:created>
  <dcterms:modified xsi:type="dcterms:W3CDTF">2019-08-05T02:49:00Z</dcterms:modified>
</cp:coreProperties>
</file>