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2625" w14:textId="77777777" w:rsidR="0033746B" w:rsidRPr="0033746B" w:rsidRDefault="0033746B" w:rsidP="0033746B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Comic Sans MS" w:eastAsia="Times New Roman" w:hAnsi="Comic Sans MS" w:cs="Times New Roman"/>
          <w:b/>
          <w:bCs/>
          <w:caps/>
          <w:color w:val="56A3F6"/>
          <w:sz w:val="24"/>
          <w:szCs w:val="24"/>
          <w:lang w:eastAsia="ru-RU"/>
        </w:rPr>
      </w:pPr>
      <w:r w:rsidRPr="0033746B">
        <w:rPr>
          <w:rFonts w:ascii="Comic Sans MS" w:eastAsia="Times New Roman" w:hAnsi="Comic Sans MS" w:cs="Times New Roman"/>
          <w:b/>
          <w:bCs/>
          <w:caps/>
          <w:color w:val="56A3F6"/>
          <w:sz w:val="24"/>
          <w:szCs w:val="24"/>
          <w:lang w:eastAsia="ru-RU"/>
        </w:rPr>
        <w:t>1. ОБЩИЕ ПОЛОЖЕНИЯ</w:t>
      </w:r>
    </w:p>
    <w:p w14:paraId="707C1083" w14:textId="77777777" w:rsidR="0033746B" w:rsidRPr="0033746B" w:rsidRDefault="0033746B" w:rsidP="0033746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1.1. </w:t>
      </w:r>
      <w:r w:rsidRPr="0033746B">
        <w:rPr>
          <w:rFonts w:ascii="Arial" w:eastAsia="Times New Roman" w:hAnsi="Arial" w:cs="Arial"/>
          <w:b/>
          <w:bCs/>
          <w:color w:val="7B7B7B"/>
          <w:sz w:val="21"/>
          <w:szCs w:val="21"/>
          <w:bdr w:val="none" w:sz="0" w:space="0" w:color="auto" w:frame="1"/>
          <w:lang w:eastAsia="ru-RU"/>
        </w:rPr>
        <w:t>Правила внутреннего распорядка для пациентов ГБУЗ КК ПК ГДП № 2</w:t>
      </w:r>
    </w:p>
    <w:p w14:paraId="62925ED5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1.1.1. Правила внутреннего распорядка для пациентов поликлиники являются организационно-правовым документом, регламентирующим в соответствии с законодательством Российской Федерации в сфере здравоохранения поведение пациента в государственном бюджетном учреждении здравоохранения «Петропавловск-Камчатская городская детская поликлиника № 2» (далее ГБУЗ КК ПК ГДП № 2), а также иные вопросы, возникающие между пациентом (его представителем) и ГБУЗ КК ПК ГДП № 2.</w:t>
      </w:r>
    </w:p>
    <w:p w14:paraId="244D0B4A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1.1.2.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ГБУЗ КК ПК ГДП № 2, распоряжениями руководителей структурных подразделений организации и иными локальными нормативными актами.</w:t>
      </w:r>
    </w:p>
    <w:p w14:paraId="3AB6DDAA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1.1.3. 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14629D0D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1.1.4. Правила внутреннего распорядка для пациентов включают:</w:t>
      </w:r>
    </w:p>
    <w:p w14:paraId="262FAA7B" w14:textId="77777777" w:rsidR="0033746B" w:rsidRPr="0033746B" w:rsidRDefault="0033746B" w:rsidP="0033746B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порядок обращения пациента в поликлинику;</w:t>
      </w:r>
    </w:p>
    <w:p w14:paraId="0DABF15A" w14:textId="77777777" w:rsidR="0033746B" w:rsidRPr="0033746B" w:rsidRDefault="0033746B" w:rsidP="0033746B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права и обязанности пациента;</w:t>
      </w:r>
    </w:p>
    <w:p w14:paraId="1856B3CF" w14:textId="77777777" w:rsidR="0033746B" w:rsidRPr="0033746B" w:rsidRDefault="0033746B" w:rsidP="0033746B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порядок разрешения конфликтных ситуаций между организацией и пациентом;</w:t>
      </w:r>
    </w:p>
    <w:p w14:paraId="513CC2D2" w14:textId="77777777" w:rsidR="0033746B" w:rsidRPr="0033746B" w:rsidRDefault="0033746B" w:rsidP="0033746B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порядок   предоставления   информации   о   состоянии здоровья пациента;</w:t>
      </w:r>
    </w:p>
    <w:p w14:paraId="230ADC17" w14:textId="77777777" w:rsidR="0033746B" w:rsidRPr="0033746B" w:rsidRDefault="0033746B" w:rsidP="0033746B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порядок выдачи справок, выписок из медицинской документации пациенту или другим лицам;</w:t>
      </w:r>
    </w:p>
    <w:p w14:paraId="72AA241C" w14:textId="77777777" w:rsidR="0033746B" w:rsidRPr="0033746B" w:rsidRDefault="0033746B" w:rsidP="0033746B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график работы   поликлиники и ее   должностных лиц;</w:t>
      </w:r>
    </w:p>
    <w:p w14:paraId="04384A80" w14:textId="77777777" w:rsidR="0033746B" w:rsidRPr="0033746B" w:rsidRDefault="0033746B" w:rsidP="0033746B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информацию   о   перечне   платных   медицинских услуг и порядке их оказания;</w:t>
      </w:r>
    </w:p>
    <w:p w14:paraId="7E8EBB95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1.1.5. Правила внутреннего распорядка обязательны для всех пациентов, проходящих обследование и лечение в поликлинике.</w:t>
      </w:r>
    </w:p>
    <w:p w14:paraId="44BF2DFA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1.1.6. Правила должны находиться в доступном для пациентов месте (в справочном окне регистратуры).</w:t>
      </w:r>
    </w:p>
    <w:p w14:paraId="7553AA8E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1.1.7. Правила внутреннего распорядка для пациентов также размещаются на официальном сайте поликлиники:http://pkgdp2.ru.</w:t>
      </w:r>
    </w:p>
    <w:p w14:paraId="25C30884" w14:textId="77777777" w:rsidR="0033746B" w:rsidRPr="0033746B" w:rsidRDefault="0033746B" w:rsidP="0033746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b/>
          <w:bCs/>
          <w:color w:val="7B7B7B"/>
          <w:sz w:val="21"/>
          <w:szCs w:val="21"/>
          <w:bdr w:val="none" w:sz="0" w:space="0" w:color="auto" w:frame="1"/>
          <w:lang w:eastAsia="ru-RU"/>
        </w:rPr>
        <w:t>1.2. Информация о месте    нахождения    правил внутреннего распорядка для пациентов (далее - Правила) должна быть вывешена в поликлинике на информацион</w:t>
      </w:r>
      <w:r w:rsidRPr="0033746B">
        <w:rPr>
          <w:rFonts w:ascii="Arial" w:eastAsia="Times New Roman" w:hAnsi="Arial" w:cs="Arial"/>
          <w:b/>
          <w:bCs/>
          <w:color w:val="7B7B7B"/>
          <w:sz w:val="21"/>
          <w:szCs w:val="21"/>
          <w:bdr w:val="none" w:sz="0" w:space="0" w:color="auto" w:frame="1"/>
          <w:lang w:eastAsia="ru-RU"/>
        </w:rPr>
        <w:softHyphen/>
        <w:t>ном стенде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.</w:t>
      </w:r>
    </w:p>
    <w:p w14:paraId="462A7E67" w14:textId="77777777" w:rsidR="0033746B" w:rsidRPr="0033746B" w:rsidRDefault="0033746B" w:rsidP="0033746B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Comic Sans MS" w:eastAsia="Times New Roman" w:hAnsi="Comic Sans MS" w:cs="Times New Roman"/>
          <w:b/>
          <w:bCs/>
          <w:caps/>
          <w:color w:val="56A3F6"/>
          <w:sz w:val="24"/>
          <w:szCs w:val="24"/>
          <w:lang w:eastAsia="ru-RU"/>
        </w:rPr>
      </w:pPr>
      <w:r w:rsidRPr="0033746B">
        <w:rPr>
          <w:rFonts w:ascii="Comic Sans MS" w:eastAsia="Times New Roman" w:hAnsi="Comic Sans MS" w:cs="Times New Roman"/>
          <w:b/>
          <w:bCs/>
          <w:caps/>
          <w:color w:val="56A3F6"/>
          <w:sz w:val="24"/>
          <w:szCs w:val="24"/>
          <w:lang w:eastAsia="ru-RU"/>
        </w:rPr>
        <w:t>2. ПОРЯДОК ОБРАЩЕНИЯ ПАЦИЕНТОВ В ПОЛИКЛИНИКУ</w:t>
      </w:r>
    </w:p>
    <w:p w14:paraId="67401613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2.1. В  целях профилактики заболеваний,  своевре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менной диагностики и лечения в амбулаторных условиях граждане    закрепляются   за   поликлиникой    по    месту постоянного жительства.</w:t>
      </w:r>
    </w:p>
    <w:p w14:paraId="209BBCE2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2.2.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гражданина, или окружающих его лиц), необходимо обратиться в службу скорой медицинской помощи по телефону - 03.</w:t>
      </w:r>
    </w:p>
    <w:p w14:paraId="11A9E5BF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lastRenderedPageBreak/>
        <w:t>2.3. Медицинская помощь населению осуществляется по участково-территориальному принципу непосредственно в поликлинике ГБУЗ КК ПК ГДП №2 или, в случае необходимости, на дому. В поликлинике ГБУЗ КК ПК ГДП №2 медицинская помощь оказывается ежедневно с понедельника по пятницу с 8-00 до 19-00, суббота, воскресенье - выходной. Для получения медицинской помощи на дому при острых заболеваниях или обострениях хронических заболеваний пациент может вызвать на дом участкового врача по телефонам 24-14-08 или 24-07-74 с7-30 до 14-00 часов.</w:t>
      </w:r>
    </w:p>
    <w:p w14:paraId="3DDF9A57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2.4. Медицинская помощь вне поликлиники ГБУЗ КК ПК ГДП №2 осуществляется в следующих случаях:</w:t>
      </w:r>
    </w:p>
    <w:p w14:paraId="4630E029" w14:textId="77777777" w:rsidR="0033746B" w:rsidRPr="0033746B" w:rsidRDefault="0033746B" w:rsidP="0033746B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при наличии острого внезапного ухудшения состояния здоровья (высокая температура - 38 градусов и выше, иные состояния, требующие неотложной помощи и консультации врача);</w:t>
      </w:r>
    </w:p>
    <w:p w14:paraId="5C145597" w14:textId="77777777" w:rsidR="0033746B" w:rsidRPr="0033746B" w:rsidRDefault="0033746B" w:rsidP="0033746B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тяжелых хронических заболеваниях (при невозможности передвижения пациента);</w:t>
      </w:r>
    </w:p>
    <w:p w14:paraId="132473C0" w14:textId="77777777" w:rsidR="0033746B" w:rsidRPr="0033746B" w:rsidRDefault="0033746B" w:rsidP="0033746B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при необходимости соблюдения строгого домашнего режима, рекомендованного лечащим врачом.</w:t>
      </w:r>
    </w:p>
    <w:p w14:paraId="787943D2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2.5. Предусмотрено оказание медицинской помощи на дому врачами- специалистами по направлению врача-педиатра и по согласованию с заместителем главного врача по медицинской части ГБУЗ КК ПК ГДП №2.</w:t>
      </w:r>
    </w:p>
    <w:p w14:paraId="5F2BBC88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2.6.  При   первичном   обращении   пациент (его законный представитель) обязан представить   документ, удостоверяющий личность, и действующий страховой медицинский полис.</w:t>
      </w:r>
    </w:p>
    <w:p w14:paraId="2BECA751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2.7. В   регистратуре поликлиники при первичном обращении   на   пациента заводится «История развития ребенка», в которую вносятся следующие сведения о пациенте:</w:t>
      </w:r>
    </w:p>
    <w:p w14:paraId="30DB9635" w14:textId="77777777" w:rsidR="0033746B" w:rsidRPr="0033746B" w:rsidRDefault="0033746B" w:rsidP="0033746B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фамилия, имя, отчество (полностью);</w:t>
      </w:r>
    </w:p>
    <w:p w14:paraId="731E498A" w14:textId="77777777" w:rsidR="0033746B" w:rsidRPr="0033746B" w:rsidRDefault="0033746B" w:rsidP="0033746B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пол;</w:t>
      </w:r>
    </w:p>
    <w:p w14:paraId="6BF82E9D" w14:textId="77777777" w:rsidR="0033746B" w:rsidRPr="0033746B" w:rsidRDefault="0033746B" w:rsidP="0033746B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дата рождения (число, месяц, год);</w:t>
      </w:r>
    </w:p>
    <w:p w14:paraId="2B212410" w14:textId="77777777" w:rsidR="0033746B" w:rsidRPr="0033746B" w:rsidRDefault="0033746B" w:rsidP="0033746B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адрес по данным прописки (регистрации) на осно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вании документа, удостоверяющего личность, и фактический адрес проживания;</w:t>
      </w:r>
    </w:p>
    <w:p w14:paraId="31714A5D" w14:textId="77777777" w:rsidR="0033746B" w:rsidRPr="0033746B" w:rsidRDefault="0033746B" w:rsidP="0033746B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серия и номер документа, удостоверяющего лич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ность;</w:t>
      </w:r>
    </w:p>
    <w:p w14:paraId="623E8F60" w14:textId="77777777" w:rsidR="0033746B" w:rsidRPr="0033746B" w:rsidRDefault="0033746B" w:rsidP="0033746B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серия и номер страхового медицинского полиса;</w:t>
      </w:r>
    </w:p>
    <w:p w14:paraId="150F3B8E" w14:textId="77777777" w:rsidR="0033746B" w:rsidRPr="0033746B" w:rsidRDefault="0033746B" w:rsidP="0033746B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СНИЛС.</w:t>
      </w:r>
    </w:p>
    <w:p w14:paraId="046C7CB9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2.9. История развития ребенка (далее - медицинская карта) является     собственностью     поликлиники     и     должна храниться в регистратуре.</w:t>
      </w:r>
    </w:p>
    <w:p w14:paraId="50F97948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2.10. Медицинская карта на руки пациенту (его законному представителю) не выдается, а переносится в кабинет врача участковой медсестрой, медсестрой врача-специалиста либо меди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цинским регистратором.</w:t>
      </w:r>
    </w:p>
    <w:p w14:paraId="0DAEA237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2.8.   Не разрешается самовольный вынос медицинс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кой карты из поликлиники без согласования с руководст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вом.</w:t>
      </w:r>
    </w:p>
    <w:p w14:paraId="7F91D066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2.10.Вопрос о необходимости экстренной консульта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ции врача-специалиста решается участковым врачом-педиатром или заведующим отделением.</w:t>
      </w:r>
    </w:p>
    <w:p w14:paraId="17F4D0A5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2.11.Информацию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(его законный представитель) может получить в справочном окне регистратуры в устной форме, наглядно - с помощью 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lastRenderedPageBreak/>
        <w:t>информационных стендов, расположенных в холле поликлиники ГБУЗ КК ПК ГДП №2, а также с помощью сети «Интернет» на официальном сайте:http://pkgdp2.ru.</w:t>
      </w:r>
    </w:p>
    <w:p w14:paraId="25F4F986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2.12. Объем диагностических и лечебных мероприятий для конкретного пациента определяется его лечащим врачом.</w:t>
      </w:r>
    </w:p>
    <w:p w14:paraId="42154A45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2.13. Реализация   рекомендаций врачей-консультантов осуществляется только по согласованию с лечащим врачом, за исключением экстренных случаев, угрожающих жизни больного, и решения консилиума.</w:t>
      </w:r>
    </w:p>
    <w:p w14:paraId="45CF0292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2.14. Основания для плановой госпитализации па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циента определяются лечащим врачом (им же выдается направление на плановую госпитализа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цию, которое визируется заведующим отделением) в соответствии с клиническими показаниями, требующими госпитального режима, активной терапии и круглосуточного наблюдения врача.</w:t>
      </w:r>
    </w:p>
    <w:p w14:paraId="31A27C26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2.15. Пациент, нуждающийся в стационарном лече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нии,  направляется на плановую госпитализацию с результатами предварительного обследования.</w:t>
      </w:r>
    </w:p>
    <w:p w14:paraId="418180DE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2.16. Экстренная госпитализация больных с острой патологией осуществляется как по направлению лечащего врача, так и с привлечением сил и средств службы скорой медицинской помощи.</w:t>
      </w:r>
    </w:p>
    <w:p w14:paraId="20398DEE" w14:textId="77777777" w:rsidR="0033746B" w:rsidRPr="0033746B" w:rsidRDefault="0033746B" w:rsidP="0033746B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Comic Sans MS" w:eastAsia="Times New Roman" w:hAnsi="Comic Sans MS" w:cs="Times New Roman"/>
          <w:b/>
          <w:bCs/>
          <w:caps/>
          <w:color w:val="56A3F6"/>
          <w:sz w:val="24"/>
          <w:szCs w:val="24"/>
          <w:lang w:eastAsia="ru-RU"/>
        </w:rPr>
      </w:pPr>
      <w:r w:rsidRPr="0033746B">
        <w:rPr>
          <w:rFonts w:ascii="Comic Sans MS" w:eastAsia="Times New Roman" w:hAnsi="Comic Sans MS" w:cs="Times New Roman"/>
          <w:b/>
          <w:bCs/>
          <w:caps/>
          <w:color w:val="56A3F6"/>
          <w:sz w:val="24"/>
          <w:szCs w:val="24"/>
          <w:lang w:eastAsia="ru-RU"/>
        </w:rPr>
        <w:t>3. ПРАВА И ОБЯЗАННОСТИ ПАЦИЕНТОВ</w:t>
      </w:r>
    </w:p>
    <w:p w14:paraId="5B06AFA9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3.1. При обращении за медицинской помощью и ее получении пациент (его законный представитель) имеет право (в соответствии с «Основами Законодательства Российской Федерации об охране здоровья граждан») на:</w:t>
      </w:r>
    </w:p>
    <w:p w14:paraId="2A8DDC2F" w14:textId="77777777" w:rsidR="0033746B" w:rsidRPr="0033746B" w:rsidRDefault="0033746B" w:rsidP="0033746B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уважительное  и  гуманное  отношение  со  сторо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ны медицинских работников и других лиц,   участвующих в оказании медицинской помощи;</w:t>
      </w:r>
    </w:p>
    <w:p w14:paraId="1F44BF3C" w14:textId="77777777" w:rsidR="0033746B" w:rsidRPr="0033746B" w:rsidRDefault="0033746B" w:rsidP="0033746B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выбор врача с учетом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страхования;</w:t>
      </w:r>
    </w:p>
    <w:p w14:paraId="2B691134" w14:textId="77777777" w:rsidR="0033746B" w:rsidRPr="0033746B" w:rsidRDefault="0033746B" w:rsidP="0033746B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получение информации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78C5B867" w14:textId="77777777" w:rsidR="0033746B" w:rsidRPr="0033746B" w:rsidRDefault="0033746B" w:rsidP="0033746B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обследование, лечение и содержание в условиях, соответствующих санитарно-гигиеническим требованиям;</w:t>
      </w:r>
    </w:p>
    <w:p w14:paraId="54403051" w14:textId="77777777" w:rsidR="0033746B" w:rsidRPr="0033746B" w:rsidRDefault="0033746B" w:rsidP="0033746B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14:paraId="3D8A78A8" w14:textId="77777777" w:rsidR="0033746B" w:rsidRPr="0033746B" w:rsidRDefault="0033746B" w:rsidP="0033746B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14:paraId="044387B9" w14:textId="77777777" w:rsidR="0033746B" w:rsidRPr="0033746B" w:rsidRDefault="0033746B" w:rsidP="0033746B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добровольное информированное согласие на меди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цинское вмешательство;</w:t>
      </w:r>
    </w:p>
    <w:p w14:paraId="2DBA6AA6" w14:textId="77777777" w:rsidR="0033746B" w:rsidRPr="0033746B" w:rsidRDefault="0033746B" w:rsidP="0033746B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отказ от медицинского вмешательства, за исключе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нием случаев,   предусмотренных законодательством Рос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сийской Федерации;</w:t>
      </w:r>
    </w:p>
    <w:p w14:paraId="639A1CBF" w14:textId="77777777" w:rsidR="0033746B" w:rsidRPr="0033746B" w:rsidRDefault="0033746B" w:rsidP="0033746B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получение информации о своих правах и обязан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ностях и состоянии своего здоровья;</w:t>
      </w:r>
    </w:p>
    <w:p w14:paraId="2A4DBF4D" w14:textId="77777777" w:rsidR="0033746B" w:rsidRPr="0033746B" w:rsidRDefault="0033746B" w:rsidP="0033746B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14:paraId="03B0C6BE" w14:textId="77777777" w:rsidR="0033746B" w:rsidRPr="0033746B" w:rsidRDefault="0033746B" w:rsidP="0033746B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возмещение   ущерба   в   соответствии   с   законо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дательством Российской Федерации в случае причинения вреда его здоровью при оказании медицинской помощи;</w:t>
      </w:r>
    </w:p>
    <w:p w14:paraId="2FC50B5D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3.2. В случае нарушения прав пациента он (его законный представитель) может обращаться с жалобой непосредственно к руководителю или иному должностному лицу поликлиники, в которой ему оказывается медицинская помощь, в Министерство здравоохранения Камчатского края, в соответствующие профессиональные медицинские ассоциации либо в суд.</w:t>
      </w:r>
    </w:p>
    <w:p w14:paraId="3551CC4C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lastRenderedPageBreak/>
        <w:t>3.3. Пациент (его законный представитель) обязан:</w:t>
      </w:r>
    </w:p>
    <w:p w14:paraId="1E174D76" w14:textId="77777777" w:rsidR="0033746B" w:rsidRPr="0033746B" w:rsidRDefault="0033746B" w:rsidP="0033746B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соблюдать    правила    внутреннего    распорядка поликлиники;</w:t>
      </w:r>
    </w:p>
    <w:p w14:paraId="7F037723" w14:textId="77777777" w:rsidR="0033746B" w:rsidRPr="0033746B" w:rsidRDefault="0033746B" w:rsidP="0033746B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бережно относиться к имуществу поликлиники;</w:t>
      </w:r>
    </w:p>
    <w:p w14:paraId="42FE80A9" w14:textId="77777777" w:rsidR="0033746B" w:rsidRPr="0033746B" w:rsidRDefault="0033746B" w:rsidP="0033746B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уважительно относиться к медицинским работни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кам и другим лицам, участвующим в оказании меди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цинской помощи;</w:t>
      </w:r>
    </w:p>
    <w:p w14:paraId="389AB27B" w14:textId="77777777" w:rsidR="0033746B" w:rsidRPr="0033746B" w:rsidRDefault="0033746B" w:rsidP="0033746B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соблюдать правила поведения в общественных местах;</w:t>
      </w:r>
    </w:p>
    <w:p w14:paraId="21BDDF6B" w14:textId="77777777" w:rsidR="0033746B" w:rsidRPr="0033746B" w:rsidRDefault="0033746B" w:rsidP="0033746B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соблюдать требования пожарной безопасности;</w:t>
      </w:r>
    </w:p>
    <w:p w14:paraId="0C30D155" w14:textId="77777777" w:rsidR="0033746B" w:rsidRPr="0033746B" w:rsidRDefault="0033746B" w:rsidP="0033746B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уважительно   относиться   к   другим   пациентам, соблюдать очередность;</w:t>
      </w:r>
    </w:p>
    <w:p w14:paraId="47DB6BF7" w14:textId="77777777" w:rsidR="0033746B" w:rsidRPr="0033746B" w:rsidRDefault="0033746B" w:rsidP="0033746B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представлять  лицу,   оказывающему медицинскую помощь, известную ему достоверную информацию о состоя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47C9C483" w14:textId="77777777" w:rsidR="0033746B" w:rsidRPr="0033746B" w:rsidRDefault="0033746B" w:rsidP="0033746B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выполнять медицинские предписания;</w:t>
      </w:r>
    </w:p>
    <w:p w14:paraId="2284B101" w14:textId="77777777" w:rsidR="0033746B" w:rsidRPr="0033746B" w:rsidRDefault="0033746B" w:rsidP="0033746B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соблюдать рекомендуемую врачом диету;</w:t>
      </w:r>
    </w:p>
    <w:p w14:paraId="57873DEA" w14:textId="77777777" w:rsidR="0033746B" w:rsidRPr="0033746B" w:rsidRDefault="0033746B" w:rsidP="0033746B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сотрудничать с врачом на всех этапах оказания медицинской помощи;</w:t>
      </w:r>
    </w:p>
    <w:p w14:paraId="7A5F2FF1" w14:textId="77777777" w:rsidR="0033746B" w:rsidRPr="0033746B" w:rsidRDefault="0033746B" w:rsidP="0033746B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соблюдать санитарно-гигиенические нормы (входить в помещения поликлиники в бахилах, верхнюю одежду оставлять в гардеробе и т. п.);</w:t>
      </w:r>
    </w:p>
    <w:p w14:paraId="30BF2D02" w14:textId="77777777" w:rsidR="0033746B" w:rsidRPr="0033746B" w:rsidRDefault="0033746B" w:rsidP="0033746B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соблюдать правила запрета курения в поликлинике и на её территории.</w:t>
      </w:r>
    </w:p>
    <w:p w14:paraId="312E7454" w14:textId="77777777" w:rsidR="0033746B" w:rsidRPr="0033746B" w:rsidRDefault="0033746B" w:rsidP="0033746B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Comic Sans MS" w:eastAsia="Times New Roman" w:hAnsi="Comic Sans MS" w:cs="Times New Roman"/>
          <w:b/>
          <w:bCs/>
          <w:caps/>
          <w:color w:val="56A3F6"/>
          <w:sz w:val="24"/>
          <w:szCs w:val="24"/>
          <w:lang w:eastAsia="ru-RU"/>
        </w:rPr>
      </w:pPr>
      <w:r w:rsidRPr="0033746B">
        <w:rPr>
          <w:rFonts w:ascii="Comic Sans MS" w:eastAsia="Times New Roman" w:hAnsi="Comic Sans MS" w:cs="Times New Roman"/>
          <w:b/>
          <w:bCs/>
          <w:caps/>
          <w:color w:val="56A3F6"/>
          <w:sz w:val="24"/>
          <w:szCs w:val="24"/>
          <w:lang w:eastAsia="ru-RU"/>
        </w:rPr>
        <w:t>4. ПОРЯДОК РАЗРЕШЕНИЯ КОНФЛИКТОВ</w:t>
      </w:r>
    </w:p>
    <w:p w14:paraId="5E3182BF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4.1. В случае конфликтных ситуаций пациент (его за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конный представитель) имеет право непосредственно об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ратиться в администрацию поликлиники или к дежурно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му администратору согласно графику приема граждан или обратиться к администрации поликлиники в письменном виде.</w:t>
      </w:r>
    </w:p>
    <w:p w14:paraId="2C71B720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4.2. При   личном   приеме   гражданин   предъявляет документ,   удостоверяющий   его   личность. Содержание устного обращения заносится в журнал учета  приема граждан по личным вопросам главным врачом ГБУЗ КК ПК ГДП № 2.    В    случае,    если   изложенные    в   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гражданина, в остальных случаях дается письменный ответ по существу поставленных в обращении вопросов.</w:t>
      </w:r>
    </w:p>
    <w:p w14:paraId="218B0305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4.3. Письменное обращение, принятое в ходе лич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ного приема, подлежит регистрации и рассмотрению в порядке,   установленном  законодательством  Российской Федерации.</w:t>
      </w:r>
    </w:p>
    <w:p w14:paraId="6CFF99BA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4.4.  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24B95647" w14:textId="77777777" w:rsidR="0033746B" w:rsidRPr="0033746B" w:rsidRDefault="0033746B" w:rsidP="0033746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4.5. Гражданин в своем письменном обращении в обязательном   порядке   указывает   либо   наименование учреждения, в которое направляет письменное обращение, либо фамилию, имя, отчество соответствующего долж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ностного лица, либо должность соответствующего лица, а также свои фамилию,  имя,  отчество (последнее – при наличии),  почтовый адрес,  по которому должны  быть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br/>
        <w:t>направлены  ответ,  уведомление  о  переадресации  обра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щения, излагает суть предложения, заявления или жалобы, ставит личную подпись и дату.</w:t>
      </w:r>
    </w:p>
    <w:p w14:paraId="752FB63C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426F10D6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lastRenderedPageBreak/>
        <w:t>4.7. Письменное обращение, поступившее адми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нистрации поликлиники, рассматривается в течение 30 дней со дня его регистрации в порядке, установленном законодательством Российской Федерации.</w:t>
      </w:r>
    </w:p>
    <w:p w14:paraId="39E5B118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4.8.  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14:paraId="3BC7A6E8" w14:textId="77777777" w:rsidR="0033746B" w:rsidRPr="0033746B" w:rsidRDefault="0033746B" w:rsidP="0033746B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Comic Sans MS" w:eastAsia="Times New Roman" w:hAnsi="Comic Sans MS" w:cs="Times New Roman"/>
          <w:b/>
          <w:bCs/>
          <w:caps/>
          <w:color w:val="56A3F6"/>
          <w:sz w:val="24"/>
          <w:szCs w:val="24"/>
          <w:lang w:eastAsia="ru-RU"/>
        </w:rPr>
      </w:pPr>
      <w:r w:rsidRPr="0033746B">
        <w:rPr>
          <w:rFonts w:ascii="Comic Sans MS" w:eastAsia="Times New Roman" w:hAnsi="Comic Sans MS" w:cs="Times New Roman"/>
          <w:b/>
          <w:bCs/>
          <w:caps/>
          <w:color w:val="56A3F6"/>
          <w:sz w:val="24"/>
          <w:szCs w:val="24"/>
          <w:lang w:eastAsia="ru-RU"/>
        </w:rPr>
        <w:t>5.   ПОРЯДОК ПОЛУЧЕНИЯ ИНФОРМАЦИИ О СОСТОЯНИИ ЗДОРОВЬЯ ПАЦИЕНТА</w:t>
      </w:r>
    </w:p>
    <w:p w14:paraId="755AED2B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5.1. Информация о состоянии здоровья предоставляется пациенту (его законному представителю) в доступной, соответствующей требованиям ме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дицинской этики и деонтологии форме лечащим врачом, заведующим отделением или иными должностными лицами поликлиники.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   вме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шательства и их последствиях, а также о результатах проведенного лечения и возможных осложнениях. Информа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ция  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кая информация.</w:t>
      </w:r>
    </w:p>
    <w:p w14:paraId="3C497120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5.2. В отношении несовершеннолетних и лиц, признан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ных в установленном законом порядке недееспособными, информация о состоянии здоровья пациента предоставля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ется их законному представителю.</w:t>
      </w:r>
    </w:p>
    <w:p w14:paraId="68859EAE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5.3. В случае отказа пациента (его законного представителя) от получения информации о состоянии здоровья делается соответствующая запись в медицинской документации.</w:t>
      </w:r>
    </w:p>
    <w:p w14:paraId="6925730B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5.4. Информация, содержащаяся в медицинской   доку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ментации, составляет врачебную  тайну и может предос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тавляться без согласия пациента только по   основаниям, предусмотренным законодательством.</w:t>
      </w:r>
    </w:p>
    <w:p w14:paraId="5CBB542C" w14:textId="77777777" w:rsidR="0033746B" w:rsidRPr="0033746B" w:rsidRDefault="0033746B" w:rsidP="0033746B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Comic Sans MS" w:eastAsia="Times New Roman" w:hAnsi="Comic Sans MS" w:cs="Times New Roman"/>
          <w:b/>
          <w:bCs/>
          <w:caps/>
          <w:color w:val="56A3F6"/>
          <w:sz w:val="24"/>
          <w:szCs w:val="24"/>
          <w:lang w:eastAsia="ru-RU"/>
        </w:rPr>
      </w:pPr>
      <w:r w:rsidRPr="0033746B">
        <w:rPr>
          <w:rFonts w:ascii="Comic Sans MS" w:eastAsia="Times New Roman" w:hAnsi="Comic Sans MS" w:cs="Times New Roman"/>
          <w:b/>
          <w:bCs/>
          <w:caps/>
          <w:color w:val="56A3F6"/>
          <w:sz w:val="24"/>
          <w:szCs w:val="24"/>
          <w:lang w:eastAsia="ru-RU"/>
        </w:rPr>
        <w:t>6.  ПОРЯДОК ВЫДАЧИ СПРАВОК, ВЫПИСОК ИЗ МЕДИЦИНСКОЙ ДОКУМЕНТАЦИИ</w:t>
      </w:r>
    </w:p>
    <w:p w14:paraId="1998FA66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6.1. Порядок выдачи документов, удостоверяющих временную нетрудоспособность, а также выписок из меди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цинской    документации    утверждается    Министерством здравоохранения Российской Фе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дерации.</w:t>
      </w:r>
    </w:p>
    <w:p w14:paraId="1CCAC970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6.2. Документами, удостоверяющими временную не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трудоспособность больного, являются установленной фор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мы листок нетрудоспособности, или справка о временной нетрудоспособности,  или  справка об  освобождении  от служебных обязанностей.   Документы,   удостоверяющие временную нетрудоспособность, а также выписки   из ме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дицинской документации выдаются лечащим врачом. Выдача и продление документа, удостоверяющего времен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ную нетрудоспособность законного представителя, осуществляются врачом после личного осмотра пациента и подтверждаются записью в медицин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ской документации, обосновывающей временное освобож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дение от работы законного представителя пациента. В случае заболевания детей дошкольных образовательных организаций, учащихся, сту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дентов средних, специальных и высших учебных заведе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ний для освобождения их от учебы выдается справка установленной формы.</w:t>
      </w:r>
    </w:p>
    <w:p w14:paraId="2A9E91E0" w14:textId="77777777" w:rsidR="0033746B" w:rsidRPr="0033746B" w:rsidRDefault="0033746B" w:rsidP="0033746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lastRenderedPageBreak/>
        <w:t>6.3. За необоснованную выдачу, неправильное оформ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ление листка нетрудоспособности (справки) врачи, ко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торым предоставлено право их выдачи, привлекаются к ответственности в установленном законодательством по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br/>
        <w:t>рядке.</w:t>
      </w:r>
    </w:p>
    <w:p w14:paraId="204EFD18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6.4. Полученные пациентом (его законным представителем) листки нетрудоспособ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ности, справки о временной нетрудоспособности, выписки из медицинской документации заверяются печатями уста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новленного образца.</w:t>
      </w:r>
    </w:p>
    <w:p w14:paraId="11503679" w14:textId="77777777" w:rsidR="0033746B" w:rsidRPr="0033746B" w:rsidRDefault="0033746B" w:rsidP="0033746B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Comic Sans MS" w:eastAsia="Times New Roman" w:hAnsi="Comic Sans MS" w:cs="Times New Roman"/>
          <w:b/>
          <w:bCs/>
          <w:caps/>
          <w:color w:val="56A3F6"/>
          <w:sz w:val="24"/>
          <w:szCs w:val="24"/>
          <w:lang w:eastAsia="ru-RU"/>
        </w:rPr>
      </w:pPr>
      <w:r w:rsidRPr="0033746B">
        <w:rPr>
          <w:rFonts w:ascii="Comic Sans MS" w:eastAsia="Times New Roman" w:hAnsi="Comic Sans MS" w:cs="Times New Roman"/>
          <w:b/>
          <w:bCs/>
          <w:caps/>
          <w:color w:val="56A3F6"/>
          <w:sz w:val="24"/>
          <w:szCs w:val="24"/>
          <w:lang w:eastAsia="ru-RU"/>
        </w:rPr>
        <w:t>7. РЕЖИМ РАБОТЫ ПОЛИКЛИНИКИ</w:t>
      </w:r>
    </w:p>
    <w:p w14:paraId="4D466EA3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7.1.  Режим работы поликлиники определяется   пра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вилами внутреннего трудового распорядка поликлиники.</w:t>
      </w:r>
    </w:p>
    <w:p w14:paraId="220F4346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7.2. Режим работы поликлиники определяет время начала и окончания рабочего дня (смены), рабочие и вы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ходные дни, время обеденного и других перерывов, после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довательность чередования работы по сменам, рабочее время должностных лиц и должен обеспечивать доступ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ность и преемственность оказания медицинской помощи гражданам, в том числе экстренной и неотложной, во все рабочие  дни недели, а также в период временного отсутствия специалистов.</w:t>
      </w:r>
    </w:p>
    <w:p w14:paraId="3E94A906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7.3.  Индивидуальные нормы нагрузки   персонала (график работы) устанавливаются главным врачом в соот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ветствии с типовыми должностными инструкциями персо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нала организации здравоохранения и по согласованию с профсоюзными органами. Режим работы поликлиники ут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верждается главным врачом.</w:t>
      </w:r>
    </w:p>
    <w:p w14:paraId="682527CA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7.4.  Прием населения главным врачом или его заместителями осуществляется в установленные часы приема. Информацию о часах прие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ма можно узнать в окне регистратуры, на стенде рядом с регистратурой, а также на официальном сайте поликлиники: http://pkgdp2.ru.</w:t>
      </w:r>
    </w:p>
    <w:p w14:paraId="74745DB3" w14:textId="77777777" w:rsidR="0033746B" w:rsidRPr="0033746B" w:rsidRDefault="0033746B" w:rsidP="0033746B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Comic Sans MS" w:eastAsia="Times New Roman" w:hAnsi="Comic Sans MS" w:cs="Times New Roman"/>
          <w:b/>
          <w:bCs/>
          <w:caps/>
          <w:color w:val="56A3F6"/>
          <w:sz w:val="24"/>
          <w:szCs w:val="24"/>
          <w:lang w:eastAsia="ru-RU"/>
        </w:rPr>
      </w:pPr>
      <w:r w:rsidRPr="0033746B">
        <w:rPr>
          <w:rFonts w:ascii="Comic Sans MS" w:eastAsia="Times New Roman" w:hAnsi="Comic Sans MS" w:cs="Times New Roman"/>
          <w:b/>
          <w:bCs/>
          <w:caps/>
          <w:color w:val="56A3F6"/>
          <w:sz w:val="24"/>
          <w:szCs w:val="24"/>
          <w:lang w:eastAsia="ru-RU"/>
        </w:rPr>
        <w:t>8. ИНФОРМАЦИЯ О ПОРЯДКЕ ОКАЗАНИЯ ПЛАТНЫХ МЕДИЦИНСКИХ УСЛУГ</w:t>
      </w:r>
    </w:p>
    <w:p w14:paraId="2F3B9CC1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8.1.Платные медицинские услуги оказываются гражданам сверх Программы государственных гарантий оказания гражданам Российской Федерации бесплатной медицинской помощи.</w:t>
      </w:r>
    </w:p>
    <w:p w14:paraId="1CF9745A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8.2. Перечень   платных видов медицинской помощи и услуг, оказываемых населению, а также порядок и условия их предоставления населению определяются Положением об оказании   платных   услуг   ГБУЗ КК ПК ГДП № 2, а также законодательством Российской Федерации.</w:t>
      </w:r>
    </w:p>
    <w:p w14:paraId="28F16B2D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8.2.   Стоимость платных медицинских услуг опреде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ляется калькуляцией с учетом всех расходов, связанных с предоставлением этих услуг.</w:t>
      </w:r>
    </w:p>
    <w:p w14:paraId="50A965F4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8.3. Оплата медицинских услуг не предоставляет право внеочередного обслуживания в ущерб гражданам, получающим бесплатную медицинскую помощь в рамках Территориальной программы государственных гарантий оказания населению Камчатского края бесплатной меди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цинской помощи.</w:t>
      </w:r>
    </w:p>
    <w:p w14:paraId="0DB91BDC" w14:textId="77777777" w:rsidR="0033746B" w:rsidRPr="0033746B" w:rsidRDefault="0033746B" w:rsidP="0033746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8.4. Поликлиника обязана обеспечить граждан дос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 xml:space="preserve">тупной и достоверной информацией о перечне платных медицинских услуг с указанием их стоимости, об условиях предоставления 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lastRenderedPageBreak/>
        <w:t>услуг, включая сведения о льготах для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br/>
        <w:t>отдельных категорий граждан.</w:t>
      </w:r>
    </w:p>
    <w:p w14:paraId="116E6EB6" w14:textId="77777777" w:rsidR="0033746B" w:rsidRPr="0033746B" w:rsidRDefault="0033746B" w:rsidP="0033746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8.5.   Информация о платных медицинских и иных услугах, оказываемых населению поликлиникой, а также порядок и условия их предоставления населению разме</w:t>
      </w: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softHyphen/>
        <w:t>щены на информационном стенде и на официальном сайте: </w:t>
      </w:r>
      <w:hyperlink r:id="rId5" w:history="1">
        <w:r w:rsidRPr="0033746B">
          <w:rPr>
            <w:rFonts w:ascii="Arial" w:eastAsia="Times New Roman" w:hAnsi="Arial" w:cs="Arial"/>
            <w:color w:val="64B6F8"/>
            <w:sz w:val="21"/>
            <w:szCs w:val="21"/>
            <w:u w:val="single"/>
            <w:lang w:eastAsia="ru-RU"/>
          </w:rPr>
          <w:t>http://pkgdp2.ru</w:t>
        </w:r>
      </w:hyperlink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.</w:t>
      </w:r>
    </w:p>
    <w:p w14:paraId="549A00E7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8.6.   Платные услуги предоставляются только при согласии пациента, который должен быть уведомлен об этом предварительно.</w:t>
      </w:r>
    </w:p>
    <w:p w14:paraId="33216E04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8.7.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14:paraId="24866FF6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8.8. При оказании пациенту платных услуг врачом в установленном порядке, заполняется медицинская документация. После оказания платной услуги пациенту, по его желанию, выдаётся медицинское заключение установленной формы.</w:t>
      </w:r>
    </w:p>
    <w:p w14:paraId="54820868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8.9. Отношения между поликлиникой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14:paraId="1B896808" w14:textId="77777777" w:rsidR="0033746B" w:rsidRPr="0033746B" w:rsidRDefault="0033746B" w:rsidP="0033746B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33746B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14:paraId="209BBE53" w14:textId="77777777" w:rsidR="00210E44" w:rsidRDefault="00210E44">
      <w:bookmarkStart w:id="0" w:name="_GoBack"/>
      <w:bookmarkEnd w:id="0"/>
    </w:p>
    <w:sectPr w:rsidR="0021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7609"/>
    <w:multiLevelType w:val="multilevel"/>
    <w:tmpl w:val="FCA8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0546E"/>
    <w:multiLevelType w:val="multilevel"/>
    <w:tmpl w:val="7246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76AC1"/>
    <w:multiLevelType w:val="multilevel"/>
    <w:tmpl w:val="9D48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252225"/>
    <w:multiLevelType w:val="multilevel"/>
    <w:tmpl w:val="2E5E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2B7BCD"/>
    <w:multiLevelType w:val="multilevel"/>
    <w:tmpl w:val="7388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76"/>
    <w:rsid w:val="00210E44"/>
    <w:rsid w:val="0033746B"/>
    <w:rsid w:val="00E1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40ED0-A4E6-4695-8DDD-FD53045C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7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74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46B"/>
    <w:rPr>
      <w:b/>
      <w:bCs/>
    </w:rPr>
  </w:style>
  <w:style w:type="character" w:styleId="a5">
    <w:name w:val="Hyperlink"/>
    <w:basedOn w:val="a0"/>
    <w:uiPriority w:val="99"/>
    <w:semiHidden/>
    <w:unhideWhenUsed/>
    <w:rsid w:val="00337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kgdp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2671</Words>
  <Characters>15229</Characters>
  <Application>Microsoft Office Word</Application>
  <DocSecurity>0</DocSecurity>
  <Lines>126</Lines>
  <Paragraphs>35</Paragraphs>
  <ScaleCrop>false</ScaleCrop>
  <Company/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2019-07-18T07:45:00Z</dcterms:created>
  <dcterms:modified xsi:type="dcterms:W3CDTF">2019-07-18T07:45:00Z</dcterms:modified>
</cp:coreProperties>
</file>