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D0" w:rsidRDefault="00041DD0" w:rsidP="00041D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pacing w:val="16"/>
          <w:sz w:val="44"/>
          <w:szCs w:val="44"/>
        </w:rPr>
        <w:t>Отделение амбулаторной судебно-психиатрической экспертизы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center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pacing w:val="16"/>
          <w:sz w:val="44"/>
          <w:szCs w:val="44"/>
        </w:rPr>
        <w:t>ГБУЗ «ПКБ №13 ДЗМ» проводит следующие виды экспертиз на основании </w:t>
      </w:r>
      <w:r>
        <w:rPr>
          <w:rStyle w:val="a4"/>
          <w:rFonts w:ascii="Helvetica" w:hAnsi="Helvetica" w:cs="Helvetica"/>
          <w:color w:val="333333"/>
          <w:spacing w:val="16"/>
          <w:sz w:val="48"/>
          <w:szCs w:val="48"/>
        </w:rPr>
        <w:t>лицензии № ЛО-77-01-017418 от 29.01.2019 г: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— Первичные, повторные;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— Основные, дополнительные;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— Комиссионные, единоличные;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-Однородные, комплексные (сексолого-психолого-психиатрические, судебно-психиатрические, судебно-медицинские, психолого-психиатрические, психолого-наркологические…)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— Специальные (в кабинете следователя и зале заседаний)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— Заочные (посмертные экспертизы).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— Экспертизы по вопросам лишения дееспособности (в том числе, с выездом на дом).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Производство судебно-психиатрической экспертизы включает три этапа:                   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 а) установление диагноза психического расстройства и его нозологической принадлежности (первый этап);                                                                                 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 xml:space="preserve">б) судебно-психиатрическая оценка выявленного психического расстройства с целью решения </w:t>
      </w:r>
      <w:r>
        <w:rPr>
          <w:rFonts w:ascii="Helvetica" w:hAnsi="Helvetica" w:cs="Helvetica"/>
          <w:color w:val="333333"/>
          <w:spacing w:val="16"/>
          <w:sz w:val="36"/>
          <w:szCs w:val="36"/>
        </w:rPr>
        <w:lastRenderedPageBreak/>
        <w:t>экспертных вопросов (второй этап);                                         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 в) подготовка заключения, содержащего ответы на вопросы, поставленные судом, судьей, лицом, производящим дознание, следователем (третий этап).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Первый и второй этапы производства </w:t>
      </w:r>
      <w:r>
        <w:rPr>
          <w:rStyle w:val="a4"/>
          <w:rFonts w:ascii="Helvetica" w:hAnsi="Helvetica" w:cs="Helvetica"/>
          <w:color w:val="333333"/>
          <w:spacing w:val="16"/>
          <w:sz w:val="36"/>
          <w:szCs w:val="36"/>
          <w:u w:val="single"/>
        </w:rPr>
        <w:t>амбулаторной</w:t>
      </w:r>
      <w:r>
        <w:rPr>
          <w:rFonts w:ascii="Helvetica" w:hAnsi="Helvetica" w:cs="Helvetica"/>
          <w:color w:val="333333"/>
          <w:spacing w:val="16"/>
          <w:sz w:val="36"/>
          <w:szCs w:val="36"/>
        </w:rPr>
        <w:t> судебно-психиатрической экспертизы завершаются не позднее 20 дней со дня начала амбулаторной судебно-психиатрической экспертизы.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Первый и второй этапы производства </w:t>
      </w:r>
      <w:r>
        <w:rPr>
          <w:rStyle w:val="a4"/>
          <w:rFonts w:ascii="Helvetica" w:hAnsi="Helvetica" w:cs="Helvetica"/>
          <w:color w:val="333333"/>
          <w:spacing w:val="16"/>
          <w:sz w:val="36"/>
          <w:szCs w:val="36"/>
          <w:u w:val="single"/>
        </w:rPr>
        <w:t>стационарной</w:t>
      </w:r>
      <w:r>
        <w:rPr>
          <w:rFonts w:ascii="Helvetica" w:hAnsi="Helvetica" w:cs="Helvetica"/>
          <w:color w:val="333333"/>
          <w:spacing w:val="16"/>
          <w:sz w:val="36"/>
          <w:szCs w:val="36"/>
        </w:rPr>
        <w:t> судебно-психиатрической экспертизы завершаются не позднее 30 дней со дня начала стационарной судебно-психиатрической экспертизы.</w:t>
      </w:r>
    </w:p>
    <w:p w:rsidR="00041DD0" w:rsidRDefault="00041DD0" w:rsidP="00041DD0">
      <w:pPr>
        <w:pStyle w:val="a3"/>
        <w:shd w:val="clear" w:color="auto" w:fill="FFFFFF"/>
        <w:spacing w:before="180" w:beforeAutospacing="0" w:after="0" w:afterAutospacing="0"/>
        <w:jc w:val="both"/>
        <w:rPr>
          <w:rFonts w:ascii="Helvetica" w:hAnsi="Helvetica" w:cs="Helvetica"/>
          <w:color w:val="333333"/>
          <w:spacing w:val="16"/>
          <w:sz w:val="21"/>
          <w:szCs w:val="21"/>
        </w:rPr>
      </w:pPr>
      <w:r>
        <w:rPr>
          <w:rFonts w:ascii="Helvetica" w:hAnsi="Helvetica" w:cs="Helvetica"/>
          <w:color w:val="333333"/>
          <w:spacing w:val="16"/>
          <w:sz w:val="36"/>
          <w:szCs w:val="36"/>
        </w:rPr>
        <w:t>Заключение составляется не позднее 10 рабочих дней после окончания первого и второго этапа производства судебно-психиатрической экспертизы.</w:t>
      </w:r>
    </w:p>
    <w:p w:rsidR="008E56E2" w:rsidRDefault="008E56E2">
      <w:bookmarkStart w:id="0" w:name="_GoBack"/>
      <w:bookmarkEnd w:id="0"/>
    </w:p>
    <w:sectPr w:rsidR="008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E"/>
    <w:rsid w:val="00041DD0"/>
    <w:rsid w:val="008E56E2"/>
    <w:rsid w:val="00B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2D48-BE5B-4A37-A808-3B1A7702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2019-09-17T11:24:00Z</dcterms:created>
  <dcterms:modified xsi:type="dcterms:W3CDTF">2019-09-17T11:24:00Z</dcterms:modified>
</cp:coreProperties>
</file>