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68316" w14:textId="77777777" w:rsidR="0022209B" w:rsidRPr="0022209B" w:rsidRDefault="0022209B" w:rsidP="0022209B">
      <w:pPr>
        <w:spacing w:after="150" w:line="240" w:lineRule="auto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22209B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Назначение Стандарта — указать модель пациента (описание «типового» случая), область и условия применения стандарта (диагнозы, амбулаторные или стационарные условия, длительность лечения и т. д.), способ лечения с указанием конкретных рекомендаций по использованию технических и медикаментозных средств. </w:t>
      </w:r>
      <w:r w:rsidRPr="0022209B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br/>
      </w:r>
      <w:r w:rsidRPr="0022209B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br/>
        <w:t>Стандарт предназначен для обязательного исполнения в системе здравоохранения, работающих по программе реализации государственных гарантий оказания гражданам бесплатной медицинской помощи. Структура Стандарта медицинской помощи Типовой стандарт включает в себя следующие разделы: </w:t>
      </w:r>
    </w:p>
    <w:p w14:paraId="010FE2AD" w14:textId="77777777" w:rsidR="0022209B" w:rsidRPr="0022209B" w:rsidRDefault="0022209B" w:rsidP="0022209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22209B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указание вида медицинской помощи (первичная медико-санитарная, специализированная, скорая), при котором используется Стандарт;</w:t>
      </w:r>
    </w:p>
    <w:p w14:paraId="5977A7BD" w14:textId="77777777" w:rsidR="0022209B" w:rsidRPr="0022209B" w:rsidRDefault="0022209B" w:rsidP="0022209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22209B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перечень диагностических медицинских услуг с указанием количества и частоты их предоставления;</w:t>
      </w:r>
    </w:p>
    <w:p w14:paraId="5E6AF3E6" w14:textId="77777777" w:rsidR="0022209B" w:rsidRPr="0022209B" w:rsidRDefault="0022209B" w:rsidP="0022209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22209B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перечень лечебных медицинских услуг с указанием количества и частоты их предоставления;</w:t>
      </w:r>
    </w:p>
    <w:p w14:paraId="481B959F" w14:textId="77777777" w:rsidR="0022209B" w:rsidRPr="0022209B" w:rsidRDefault="0022209B" w:rsidP="0022209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22209B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перечень используемых лекарственных средств с указанием разовых и курсовых доз;</w:t>
      </w:r>
    </w:p>
    <w:p w14:paraId="6547D125" w14:textId="77777777" w:rsidR="0022209B" w:rsidRPr="0022209B" w:rsidRDefault="0022209B" w:rsidP="0022209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22209B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перечень дорогостоящих изделий медицинского назначения (включая импланты, эндопротезы и т. д.);</w:t>
      </w:r>
    </w:p>
    <w:p w14:paraId="0F2F7739" w14:textId="77777777" w:rsidR="0022209B" w:rsidRPr="0022209B" w:rsidRDefault="0022209B" w:rsidP="0022209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22209B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перечень компонентов крови и препаратов с указанием количества и частоты их предоставления;</w:t>
      </w:r>
    </w:p>
    <w:p w14:paraId="2AFD8612" w14:textId="77777777" w:rsidR="0022209B" w:rsidRPr="0022209B" w:rsidRDefault="0022209B" w:rsidP="0022209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363636"/>
          <w:sz w:val="26"/>
          <w:szCs w:val="26"/>
          <w:lang w:eastAsia="ru-RU"/>
        </w:rPr>
      </w:pPr>
      <w:r w:rsidRPr="0022209B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перечень диетического (лечебного и профилактического) питания с указанием количества и частоты его предоставления.</w:t>
      </w:r>
    </w:p>
    <w:p w14:paraId="3B509652" w14:textId="5B0D3B80" w:rsidR="00870087" w:rsidRDefault="0022209B" w:rsidP="0022209B">
      <w:r w:rsidRPr="0022209B">
        <w:rPr>
          <w:rFonts w:ascii="Calibri" w:eastAsia="Times New Roman" w:hAnsi="Calibri" w:cs="Calibri"/>
          <w:color w:val="363636"/>
          <w:sz w:val="26"/>
          <w:szCs w:val="26"/>
          <w:lang w:eastAsia="ru-RU"/>
        </w:rPr>
        <w:t>Внедрение Стандартов упорядочивает предоставление лечебной помощи населению, способствует повышению прозрачности затрат на здравоохранение, повышает общий уровень медицинской помощи. Наличие Стандартов, как элементов законодательной базы в сфере медицинских услуг, имеет важное значение в определении прав, а также области ответственности пациентов и врачей. </w:t>
      </w:r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E5119"/>
    <w:multiLevelType w:val="multilevel"/>
    <w:tmpl w:val="D954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E3"/>
    <w:rsid w:val="00117239"/>
    <w:rsid w:val="0022209B"/>
    <w:rsid w:val="00870087"/>
    <w:rsid w:val="00A3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0C473-C5EB-4AFB-B6EA-0B91BFF4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2019-08-09T08:07:00Z</dcterms:created>
  <dcterms:modified xsi:type="dcterms:W3CDTF">2019-08-09T08:07:00Z</dcterms:modified>
</cp:coreProperties>
</file>