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57"/>
      </w:tblGrid>
      <w:tr w:rsidR="00767217" w:rsidRPr="00767217" w:rsidTr="00767217">
        <w:trPr>
          <w:trHeight w:val="10650"/>
        </w:trPr>
        <w:tc>
          <w:tcPr>
            <w:tcW w:w="8835" w:type="dxa"/>
            <w:shd w:val="clear" w:color="auto" w:fill="FAFBF1"/>
            <w:tcMar>
              <w:top w:w="225" w:type="dxa"/>
              <w:left w:w="225" w:type="dxa"/>
              <w:bottom w:w="0" w:type="dxa"/>
              <w:right w:w="225" w:type="dxa"/>
            </w:tcMar>
            <w:hideMark/>
          </w:tcPr>
          <w:p w:rsidR="00767217" w:rsidRPr="00767217" w:rsidRDefault="00767217" w:rsidP="00767217">
            <w:pPr>
              <w:spacing w:before="300" w:after="150" w:line="495" w:lineRule="atLeast"/>
              <w:outlineLvl w:val="0"/>
              <w:rPr>
                <w:rFonts w:ascii="Arial Narrow" w:eastAsia="Times New Roman" w:hAnsi="Arial Narrow" w:cs="Arial"/>
                <w:color w:val="E4776F"/>
                <w:kern w:val="36"/>
                <w:sz w:val="45"/>
                <w:szCs w:val="45"/>
                <w:lang w:eastAsia="ru-RU"/>
              </w:rPr>
            </w:pPr>
            <w:r w:rsidRPr="00767217">
              <w:rPr>
                <w:rFonts w:ascii="Arial Narrow" w:eastAsia="Times New Roman" w:hAnsi="Arial Narrow" w:cs="Arial"/>
                <w:color w:val="E4776F"/>
                <w:kern w:val="36"/>
                <w:sz w:val="45"/>
                <w:szCs w:val="45"/>
                <w:lang w:eastAsia="ru-RU"/>
              </w:rPr>
              <w:t>Физиотерапия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i/>
                <w:iCs/>
                <w:color w:val="670201"/>
                <w:sz w:val="21"/>
                <w:szCs w:val="21"/>
                <w:lang w:eastAsia="ru-RU"/>
              </w:rPr>
              <w:t xml:space="preserve">Виды 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i/>
                <w:iCs/>
                <w:color w:val="670201"/>
                <w:sz w:val="21"/>
                <w:szCs w:val="21"/>
                <w:lang w:eastAsia="ru-RU"/>
              </w:rPr>
              <w:t>физиолечения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i/>
                <w:iCs/>
                <w:color w:val="670201"/>
                <w:sz w:val="21"/>
                <w:szCs w:val="21"/>
                <w:lang w:eastAsia="ru-RU"/>
              </w:rPr>
              <w:t>, используемые в РЦР МЧС.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Водолечение: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ванны хвойные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сероводородные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йодобромные</w:t>
            </w:r>
            <w:proofErr w:type="spellEnd"/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морские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жемчужные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скипидарные</w:t>
            </w:r>
          </w:p>
          <w:p w:rsidR="00767217" w:rsidRPr="00767217" w:rsidRDefault="00767217" w:rsidP="00767217">
            <w:pPr>
              <w:numPr>
                <w:ilvl w:val="0"/>
                <w:numId w:val="1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подводный — душ-массаж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Теплолечение:</w:t>
            </w:r>
          </w:p>
          <w:p w:rsidR="00767217" w:rsidRPr="00767217" w:rsidRDefault="00767217" w:rsidP="00767217">
            <w:pPr>
              <w:numPr>
                <w:ilvl w:val="0"/>
                <w:numId w:val="2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парафино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-озокеритовые аппликации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Пелоидотерапия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:</w:t>
            </w:r>
          </w:p>
          <w:p w:rsidR="00767217" w:rsidRPr="00767217" w:rsidRDefault="00767217" w:rsidP="00767217">
            <w:pPr>
              <w:numPr>
                <w:ilvl w:val="0"/>
                <w:numId w:val="3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грязелечение.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: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гальванизация, электрофорез лекарственных препаратов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СМТ- терапия, СМТ —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лекарственных средств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ДДТ- терапия, ДДТ 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лекарственных средств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Лечение токами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Дарсонваля</w:t>
            </w:r>
            <w:proofErr w:type="spellEnd"/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СВЧ- терапия (лечение дециметровыми и сантиметровыми волнами)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КВЧ - терапия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Лечение электросном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Транскраниальная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электростимуляция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Ультрафиолетовое облучение</w:t>
            </w:r>
          </w:p>
          <w:p w:rsidR="00767217" w:rsidRPr="00767217" w:rsidRDefault="00767217" w:rsidP="00767217">
            <w:pPr>
              <w:numPr>
                <w:ilvl w:val="0"/>
                <w:numId w:val="4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Микрополяризация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головного мозга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:</w:t>
            </w:r>
          </w:p>
          <w:p w:rsidR="00767217" w:rsidRPr="00767217" w:rsidRDefault="00767217" w:rsidP="00767217">
            <w:pPr>
              <w:numPr>
                <w:ilvl w:val="0"/>
                <w:numId w:val="5"/>
              </w:numPr>
              <w:spacing w:before="135" w:after="135" w:line="294" w:lineRule="atLeast"/>
              <w:ind w:left="45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лечение магнитным полем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 xml:space="preserve">Общая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аппарат «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Мультимаг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» бегущее магнитное поле по программам.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 xml:space="preserve">Лечение ультразвуком, </w:t>
            </w: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 xml:space="preserve"> лекарственных препаратов.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Инфита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 xml:space="preserve"> - терапия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Лечение сухими углекислыми ваннами.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Аэрозолътерапия</w:t>
            </w:r>
            <w:proofErr w:type="spellEnd"/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- ингаляции лекарственных препаратов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Инфракрасная сауна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Пневмомассаж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i/>
                <w:iCs/>
                <w:color w:val="670201"/>
                <w:sz w:val="21"/>
                <w:szCs w:val="21"/>
                <w:lang w:eastAsia="ru-RU"/>
              </w:rPr>
              <w:t>Электростимуляция мышц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Краткое описание видов физиотерапии, используемых в Центре.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Хвойные и морские ванны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оказывают успокаивающий, сосудорасширяющий, иммуномодулирующий (повышают иммунитет), анальгетический (обезболивающий), метаболический эффекты. Показаны при заболеваниях и последствиях травм опорно-двигательного аппарата (артриты,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атрозы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др.), периферической нервной системы (остеохондроз,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полинейропатии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) гипертоническая болезнь 1-2 стадии, облитерирующий атеросклероз нижних конечностей, болезнь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Рейно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неврозы, хронический простатит, хронические заболевания женской половой сферы.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Иодобромные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 xml:space="preserve"> ванны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обладают противовоспалительным,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репаративно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-регенеративным (заживляющим), успокаивающим, гипотензивным, метаболическим действием и показаны при заболеваниях сердечно- сосудистой системы (ИБС, постинфарктный кардиосклероз, гипертоническая болезнь 1-2 стадии), заболеваниях центральной и периферической нервной системы, заболеваниях кожи, заболеваниях опорно-двигательного аппарата, эндокринных формах женского бесплодия и др.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Сероводородные ванны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обладают теми же свойствами что и вышеуказанные и являются «золотым стандартом» в лечении «суставной» патологии.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Жемчужным ваннам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в основном присущи те же характеристики, но кроме того бурлящие пузырьки воздуха в этих ваннах оказывают тонизирующий эффект.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lastRenderedPageBreak/>
              <w:t>Подводный душ-массаж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массирование поверхности тела компактной струей воды. Такое воздействие оказывает тонизирующий, седативный (успокаивающий), трофический, спазмолитический, иммуностимулирующий эффекты и применяются для лечения заболеваний опорно-двигательного аппарата, периферической нервной системы, желудочно-кишечного тракта, неврозах, в том числе сексуальных, вегетососудистых дисфункциях, заболеваниях женской половой сферы, климаксе и др.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Парафино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-озокеритовые аппликации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оказывают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противовоспалительный,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репаративно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- регенеративный, метаболический, сосудорасширяющий, спазмолитический, трофический эффекты и используются для лечения многих заболеваний, кроме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тех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при которых лечение теплом противопоказано.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Пелоидотерапия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(лечение грязевыми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аппликациями)обладает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теми же свойствами что 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парафино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озокерит, но кроме теплового воздействия, она оказывает биологическое и химическое воздействие т. е. грязи передают тканям имеющиеся в своем составе микроэлементы и биологически активные вещества поэтому они обладают биостимулирующим, заживляющим,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кератолитическим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действием (предупреждают образование грубых рубцов).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Гальванизация электрофорез лекарственных препаратов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один из классических методов физиотерапии который, может использоваться при лечении практически всех заболеваний (кроме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тех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при которых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противопоказано). Им присущ противовоспалительный, анальгетический, успокаивающий, сосудорасширяющий, расслабляющий эффекты. Если с помощью гальванизации вводится лекарственное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вещество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то эта процедура называется электрофорезом. И к вышеуказанным эффектам прибавится эффект лекарственного вещества. Из современных заслуживают внимания внутритканевой и 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>внутриорганный методики, которые также используются в Центре.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 xml:space="preserve">СМТ или 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амплипульстерапия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, (ДДТ) - терапия,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— всеми любимые болеутоляющие процедуры, так называемый «электрический массаж», который чаще всего используется для облегчения болевого синдрома при остеохондрозе. Однако спектр применения данного вида лечения более широк за счет их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миостимулирующего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(стимуляция мышц) воздействия. Если с помощью этих токов вводится лекарственное средство, то лечебное действие усилится за счет действия лекарства и процедура эта будет называться СМТ (ДДТ)-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. Импульсные токи широко используются и в мировой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медпрактике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там эти токи известны как «русские».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 xml:space="preserve">Токи 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дарсонваля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так называемая «расческа» применяется для лечения заболеваний кожи незаживающих язвах и ранах, заболеваниях периферической нервной системы с болевым синдромом, синдроме вегетативной дисфункции, неврозах,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нейросенсорной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тугоухости, мигрени, заболеваниях вен и др., так как обладают болеутоляющим, ранозаживляющим,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противозудным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бактерицидным и вазоактивным действием.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СВЧ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(ДМВ, СМВ)— терапия чаще всего применяется для лечения подострых заболеваний внутренних органов, так как основное их действие противовоспалительное,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иммунорегулирующее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метаболическое, секреторное. Это бронхит, пневмония, бронхиальная астма, ревматизм, аднексит, простатит, невралгии, невриты и др.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Основное лечебное воздействие волн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КВЧ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терапии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иммунокорригирующее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нейростимулирующее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. Отсутствие побочных эффектов позволяет применять этот фактор достаточно широко практически при любой патологии, кроме тех заболеваний, при которых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противопоказано.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Электросон — терапия.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Основное лечебное воздействие успокаивающее.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Учитывая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что практически при всех заболеваниях данное воздействие необходимо, то и спектр применения этого лечения очень широк: заболевания центральной и периферической 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 xml:space="preserve">нервной систем, заболевания сердечно — сосудистой системы (ИБС, гипертоническая болезнь 1-2 стадий), желудочно- кишечного тракта (язвенная болезнь), бронхиальная астма,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энурез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неврозы и др.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ТЭС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терапия.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Похожая на электросон терапия, однако, кроме того, этот фактор обладает анальгезирующим свойством. Поэтому к вышеуказанным прибавятся заболевания с болевыми синдромами. ТЭС- терапия просто говоря помогает в выработке «гормонов радости», которые так необходимы всем. Не многие ЛПУ Казани могут похвастаться наличием этого аппарата.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Ультрафиолетовое облучение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 просто говоря метод, с помощью которого приобретается загар. Поэтому основной эффект пигментообразующий, кроме этого иммуностимулирующий, анальгетический, бактерицидный. Данный фактор также применяется при многих острых, подострых и хронических заболеваниях.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-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лечение магнитным полем. Недаром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считается «золотым стандартом» физиотерапии! Обладая минимумом побочных эффектов, она нашла широкое применение в лечении многих заболеваний: последствия травм головного мозга и ишемического инсульта, диабетический полиневрит, ИБС постинфарктный кардиосклероз, гипертоническая болезнь, облитерирующий атеросклероз и варикозная болезнь нижних конечностей, простатит и др. В Центре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установлен аппарат для проведения общей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Мультимаг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» в котором предусмотрены несколько программ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Лечение ультразвуком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метод, хорошо зарекомендовавший себя в лечении «суставной» патологии, особенно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введение лекарственных средств с помощью ультразвука. Пользуются популярностью на сегодняшний день: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гидрокортизоновой мази,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хондроксида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диклофенака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карипаина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. Метод применяется также для предупреждения развития грубых рубцов после операций и травм (с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контратубексом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). Широко используется УЗТ в ЛОР и стоматологической практике.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lastRenderedPageBreak/>
              <w:t>Сухие углекислые ванны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веяние современности. Из-за достаточно хорошей переносимости и хорошего эффекта, а именно снижения артериального давления 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урежения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частоты сердечных сокращений, они нашли широкое применение в кардиологической практике, хотя также используются при лечении заболеваний органов дыхания и др. Имеются сведения, что эти процедуры обладают омолаживающим эффектом.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Ингаляционная терапия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включает в себя метод введения лекарственных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аэрозолей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в дыхательные пути. В зависимости от размера микрочастиц эти аэрозоли достигают или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бронхов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или доходят до альвеол. Ингаляционная терапия может применяться при многих заболеваниях, однако самое широкое применение она нашла при лечении заболеваний органов дыхания.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Инфракрасная сауна — также новшество в физиотерапии. Эффект достигаемый в обычных саунах при температурах 100 и выше в ИК саунах достигается при более низких температурах поэтому легче переносится пациентами.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«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Инфита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 xml:space="preserve"> М»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  <w:t> осуществляет лечение методом биорезонансной электромагнитной терапии.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Показания: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бронхиальная астма;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гипертоническая болезнь;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вегетососудистая дистония;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хронический бронхит с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астматоидным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компонентом: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язвенная болезнь желудка и 12-типерстной кишки, гастрит, эзофагит в стадии неполной ремиссии;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острая и хроническая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нейросенсорная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тугоухость у детей, начиная с 3-х летнего возраста и у взрослых до 60-ти летнего возраста, </w:t>
            </w:r>
            <w:proofErr w:type="spellStart"/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стимуляционная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 терапия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заболеваний слухового нерва, отит, стабилизация порогов шума в ушах;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восстановление работоспособности и оздоровление людей с психофизическими перегрузками;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заболевание суставов и позвоночника;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трофонервозы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парастезия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кистей и стоп;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некалькуслезный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холецестит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холангит;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 xml:space="preserve"> - лечение урологических заболеваний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( циститы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сальпингоофориты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);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Противопоказания: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декоитеисированное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состояние сердечно-сосудистой и других систем организма;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злокачественные заболевания;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выраженные приступы стенокардии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ипокоя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острые нарушения мозгового кровообращения.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УВЧ - 60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  <w:t> - местное лечебное воздействие электромагнитным полем высокой частоты.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Показания: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острые воспалительные процессы, травмы спинного мозга и периферических нервов, радикулит, невралгия,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полиомелит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энцефалит, болезнь Рейко, острые и подострые воспаления матки и придатков.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Противопоказания: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злокачественные новообразования, системные заболевания крови, сердечная недостаточность II-III степени, аневризм аорты,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гипотомия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склонность к инфарктам, инфаркт миокарда, туберкулез легких в активной фазе.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 xml:space="preserve">Метод 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нормобарической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гипокситерапии</w:t>
            </w:r>
            <w:proofErr w:type="spellEnd"/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 xml:space="preserve"> («Горный воздух»)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предназначен для профилактики и лечения заболеваний, а также для повышения защитных сил организма человека.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Показания: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Заболевания сердечно-сосудистой системы (ишемическая болезнь сердца,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атерсклеротический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постинфарктный кардиосклероз, гипертоническая болезнь I-II 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А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стадии, нейроциркуляторная дистония);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Заболевания крови (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гипоплатическая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железодефицитная анемии,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пострадиационные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нарушения кровотечения);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Хронические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неспецефические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заболевания легких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( хроническая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пневмония, хронический бронхит, бронхиальная астма) и аллергические заболевания;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Хронические заболевания желудочно-кишечного тракта;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Нарушения обмена веществ (углеводного, жирового, белкового), первичный тиреотоксикоз, сахарный диабет и др.;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> - Хронические воспалительные процессы половой сферы, в том числе гинекологические заболевания;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Подготовка организма к беременности, токсикоз беременных, возможные осложнения при родах;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Астенические и депрессивные состояния, эндогенные депрессии, неврозы,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соматизированные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психопатологические синдромы;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Снижение устойчивости организма к неблагоприятным условиям внешней среды (климатические и метеорологические факторы,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дистрессы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т.п.);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Пониженная физическая работоспособность, быстрая утомляемость и бессонница;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Прерывистая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нормобарическая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гипоксическая стимуляция обеспечивает снижение побочного действия фармакологических средств, в Ом числе - некоторых химиотерапевтических препаратов при лечении онкологических больных, а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так же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повышение устойчивости к действию ядов животного и химического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проихождения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Нормобарическая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может способствовать повышению неспецифической резистентности организма при комплексном лечении больных со злокачественными новообразованиями;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Нормобарическая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гипоксическая гипоксия, развивающаяся при дыхании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газовой смесью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содержащей 10,0±1,0% кислорода (ГГС-10), а так же при дыхании смесями с более низким содержанием кислорода достоверно защищает организм онкологического больного при облучении от побочного действия ионизирующей радиации и тем самым повышает эффективность лучевой терапии.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Противопоказания: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Абсолютным противопоказанием к применению метода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нормобарической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гипокситерапии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являются острые соматические и инфекционные заболевания, а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так же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индивидуальная непереносимость кислородной недостаточности. В клинических условиях допустимо применение метода в подостром периоде;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> - Метод противопоказан при любых хронических заболеваниях с симптомами значительной декомпенсации или резкого обострения процесса.</w:t>
            </w:r>
          </w:p>
          <w:p w:rsidR="00767217" w:rsidRPr="00767217" w:rsidRDefault="00767217" w:rsidP="00767217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Лазерная рефлексотерапия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Показания к лазерной рефлексотерапии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Заболевания центральной нервной системы (острые и хронические нарушения мозгового кровообращения)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  Патологии вегетативной нервной системы;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Психо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- эмоциональные расстройства (депрессии);</w:t>
            </w:r>
          </w:p>
          <w:p w:rsidR="00767217" w:rsidRPr="00767217" w:rsidRDefault="00767217" w:rsidP="00767217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Заболевания опорно-двигательного аппарата (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вертеброгенные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мифосциальные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болевые синдромы, артрозы, артриты,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остеопорозы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асептический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нейроз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головной бедренной кости, пяточная шпора,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эпиконделез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другие патологии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дегенератовно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-дистрофического, воспалительного или травматического генеза;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Нейропатии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полинейропатии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lang w:eastAsia="ru-RU"/>
              </w:rPr>
              <w:t>Противопоказания: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Новообразования;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Беременность;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Гипоррагические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диатезы;</w:t>
            </w:r>
          </w:p>
          <w:p w:rsidR="00767217" w:rsidRPr="00767217" w:rsidRDefault="00767217" w:rsidP="00767217">
            <w:pPr>
              <w:spacing w:before="135" w:after="135" w:line="294" w:lineRule="atLeast"/>
              <w:jc w:val="both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- Заболевания органов и систем в стадии декомпенсации с развитием комы, сердечной и дыхательной недостаточности, уремии, состоянии, непосредственно угрожающих развитием опасных для жизни осложнений.</w:t>
            </w:r>
          </w:p>
          <w:p w:rsidR="00767217" w:rsidRPr="00767217" w:rsidRDefault="00767217" w:rsidP="00767217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i/>
                <w:iCs/>
                <w:color w:val="670201"/>
                <w:sz w:val="21"/>
                <w:szCs w:val="21"/>
                <w:u w:val="single"/>
                <w:lang w:eastAsia="ru-RU"/>
              </w:rPr>
              <w:t>Рекомендации врача физиотерапевта- каждое заболевания для улучшения эффективности </w:t>
            </w:r>
            <w:r w:rsidRPr="0076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0201"/>
                <w:sz w:val="27"/>
                <w:szCs w:val="27"/>
                <w:u w:val="single"/>
                <w:lang w:eastAsia="ru-RU"/>
              </w:rPr>
              <w:t>реабилитации</w:t>
            </w:r>
            <w:r w:rsidRPr="00767217">
              <w:rPr>
                <w:rFonts w:ascii="Arial" w:eastAsia="Times New Roman" w:hAnsi="Arial" w:cs="Arial"/>
                <w:b/>
                <w:bCs/>
                <w:i/>
                <w:iCs/>
                <w:color w:val="670201"/>
                <w:sz w:val="21"/>
                <w:szCs w:val="21"/>
                <w:u w:val="single"/>
                <w:lang w:eastAsia="ru-RU"/>
              </w:rPr>
              <w:t> требует использование определенных методов физиотерапии: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Заболевания органов дыхания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(хронические бронхиты в стадии ремиссии, пневмонии в период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реконвалесценсии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и т.д.):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  ЛФК с дыхательной гимнастикой;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  Ручной массаж;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: ДМВ, УВЧ, общее УФО;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Ингаляции с эвкалиптом, щелочные;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.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>-ИК - сауна.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Заболевания сердечно-сосудистой системы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(гипертоническая болезнь, облитерирующий атеросклероз нижних конечностей, варикозная болезнь нижних конечностей,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дисцикуляторная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энцефалопатия):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 - ЛФК (индивидуальные и групповые занятия);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- дарсонвализация, электросон, ТЭС-терапия;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Сухие углекислые ванны;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Водолечение: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йдобромные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хвойные, морские ванны;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Массаж ручной.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Заболевания желудочно-кишечного тракта 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(хронические гастриты в стадии ремиссии, хронические холециститы в стадии ремиссии и т.д.):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 - ЛФК;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электросон,  ТЭС</w:t>
            </w:r>
            <w:proofErr w:type="gram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-терапия, КВЧ,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Грязелечение;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Водолечение: хвойные,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йодобромные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морские ванны.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При астеническом состоянии, синдроме хронической усталости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: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ЛФК;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Тренажерный зал;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: СМТ, дарсонвализация, ТЭС-терапия, электросон;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Массаж ручной;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Водолечение: хвойные, морские, «жемчужные» ванны, подводный душ-массаж.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ИК-сауна;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ИРТ, лазерная рефлексотерапия.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  <w:r w:rsidRPr="00767217">
              <w:rPr>
                <w:rFonts w:ascii="Arial" w:eastAsia="Times New Roman" w:hAnsi="Arial" w:cs="Arial"/>
                <w:b/>
                <w:bCs/>
                <w:color w:val="670201"/>
                <w:sz w:val="21"/>
                <w:szCs w:val="21"/>
                <w:u w:val="single"/>
                <w:lang w:eastAsia="ru-RU"/>
              </w:rPr>
              <w:t>Заболевания и травмы опорно-двигательного аппарата</w:t>
            </w: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(остеохондрозы,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остеоартрозы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, переломы и т.д.)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ЛФК (занятия индивидуальные и групповые);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Массаж ручной;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lastRenderedPageBreak/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Электросветолечение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: СМТ, ДМВ, УВЧ,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 КВЧ - терапия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Водолечение: ванны скипидарные, хвойные, морские, подводный душ-массаж;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Парафино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 и грязелечение;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ИРТ, лазерная рефлексотерапия;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;</w:t>
            </w:r>
          </w:p>
          <w:p w:rsidR="00767217" w:rsidRPr="00767217" w:rsidRDefault="00767217" w:rsidP="00767217">
            <w:pPr>
              <w:spacing w:after="0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- Мануальная терапия.</w:t>
            </w:r>
          </w:p>
        </w:tc>
        <w:tc>
          <w:tcPr>
            <w:tcW w:w="4230" w:type="dxa"/>
            <w:shd w:val="clear" w:color="auto" w:fill="FAFBF1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767217" w:rsidRPr="00767217" w:rsidRDefault="00767217" w:rsidP="00767217">
            <w:pPr>
              <w:spacing w:before="300" w:after="225" w:line="240" w:lineRule="auto"/>
              <w:outlineLvl w:val="1"/>
              <w:rPr>
                <w:rFonts w:ascii="Arial Narrow" w:eastAsia="Times New Roman" w:hAnsi="Arial Narrow" w:cs="Arial"/>
                <w:color w:val="0C6E83"/>
                <w:sz w:val="30"/>
                <w:szCs w:val="30"/>
                <w:lang w:eastAsia="ru-RU"/>
              </w:rPr>
            </w:pPr>
            <w:r w:rsidRPr="00767217">
              <w:rPr>
                <w:rFonts w:ascii="Arial Narrow" w:eastAsia="Times New Roman" w:hAnsi="Arial Narrow" w:cs="Arial"/>
                <w:color w:val="0C6E83"/>
                <w:sz w:val="30"/>
                <w:szCs w:val="30"/>
                <w:lang w:eastAsia="ru-RU"/>
              </w:rPr>
              <w:lastRenderedPageBreak/>
              <w:t>Услуги центра реабилитации</w:t>
            </w:r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Рубрика (новинка)</w:t>
              </w:r>
            </w:hyperlink>
            <w:r w:rsidRPr="00767217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eastAsia="ru-RU"/>
              </w:rPr>
              <w:t>  </w:t>
            </w:r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Исторически</w:t>
              </w:r>
            </w:hyperlink>
            <w:r w:rsidRPr="00767217"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  <w:t> /новая</w:t>
            </w:r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7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Диагностика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8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Медико-психологическая помощь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9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0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Лазеротерапия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1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2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Услуги, предлагаемые кабинетами ЛФК, тренажерного зала 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3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Массаж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4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Рефлексотерапия  и мануальная терапия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5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Информация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6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Конференция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7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Методы традиционной медицины и очищения организма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8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Отзывы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19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Страничка психолога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0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АПЭК - аппарат для коррекции зрения и стрессов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1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Прейскурант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2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Информация о центре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3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Публичная информация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4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Консультации специалистов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5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Контакты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6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Документы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27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shd w:val="clear" w:color="auto" w:fill="FAFBF1"/>
                  <w:lang w:eastAsia="ru-RU"/>
                </w:rPr>
                <w:t>Юридическая помощь для граждан</w:t>
              </w:r>
            </w:hyperlink>
            <w:r w:rsidRPr="00767217">
              <w:rPr>
                <w:rFonts w:ascii="Arial" w:eastAsia="Times New Roman" w:hAnsi="Arial" w:cs="Arial"/>
                <w:b/>
                <w:bCs/>
                <w:color w:val="008000"/>
                <w:sz w:val="15"/>
                <w:szCs w:val="15"/>
                <w:u w:val="single"/>
                <w:shd w:val="clear" w:color="auto" w:fill="FAFBF1"/>
                <w:lang w:eastAsia="ru-RU"/>
              </w:rPr>
              <w:t> </w:t>
            </w:r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noProof/>
                <w:color w:val="228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628650"/>
                  <wp:effectExtent l="0" t="0" r="0" b="0"/>
                  <wp:docPr id="2" name="Рисунок 2" descr="Официальный интернет-портал правовой информации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интернет-портал правовой информации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hyperlink r:id="rId30" w:history="1">
              <w:r w:rsidRPr="00767217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Министерство по делам гражданской обороны и чрезвычайным ситуациям Республики Татарстан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6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noProof/>
                <w:color w:val="008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33525" cy="838200"/>
                  <wp:effectExtent l="0" t="0" r="9525" b="0"/>
                  <wp:docPr id="1" name="Рисунок 1" descr="lazmik_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zmik_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217" w:rsidRPr="00767217" w:rsidRDefault="00767217" w:rsidP="00767217">
            <w:pPr>
              <w:numPr>
                <w:ilvl w:val="0"/>
                <w:numId w:val="7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</w:p>
          <w:p w:rsidR="00767217" w:rsidRPr="00767217" w:rsidRDefault="00767217" w:rsidP="00767217">
            <w:pPr>
              <w:numPr>
                <w:ilvl w:val="0"/>
                <w:numId w:val="7"/>
              </w:numPr>
              <w:spacing w:after="0" w:line="294" w:lineRule="atLeast"/>
              <w:ind w:left="0" w:right="150" w:firstLine="0"/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u w:val="single"/>
                <w:lang w:eastAsia="ru-RU"/>
              </w:rPr>
              <w:t>: </w:t>
            </w:r>
            <w:hyperlink r:id="rId33" w:history="1">
              <w:r w:rsidRPr="00767217">
                <w:rPr>
                  <w:rFonts w:ascii="Arial" w:eastAsia="Times New Roman" w:hAnsi="Arial" w:cs="Arial"/>
                  <w:b/>
                  <w:bCs/>
                  <w:color w:val="2282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Rifkat.Bakirov@tatar.ru</w:t>
              </w:r>
            </w:hyperlink>
          </w:p>
          <w:p w:rsidR="00767217" w:rsidRPr="00767217" w:rsidRDefault="00767217" w:rsidP="00767217">
            <w:pPr>
              <w:numPr>
                <w:ilvl w:val="0"/>
                <w:numId w:val="7"/>
              </w:numPr>
              <w:spacing w:after="0" w:line="231" w:lineRule="atLeast"/>
              <w:ind w:left="0" w:right="150" w:firstLine="0"/>
              <w:rPr>
                <w:rFonts w:ascii="Arial" w:eastAsia="Times New Roman" w:hAnsi="Arial" w:cs="Arial"/>
                <w:color w:val="228200"/>
                <w:sz w:val="21"/>
                <w:szCs w:val="21"/>
                <w:u w:val="single"/>
                <w:lang w:eastAsia="ru-RU"/>
              </w:rPr>
            </w:pPr>
          </w:p>
          <w:p w:rsidR="00767217" w:rsidRPr="00767217" w:rsidRDefault="00767217" w:rsidP="00767217">
            <w:pPr>
              <w:spacing w:after="0" w:line="378" w:lineRule="atLeast"/>
              <w:rPr>
                <w:rFonts w:ascii="Arial Narrow" w:eastAsia="Times New Roman" w:hAnsi="Arial Narrow" w:cs="Arial"/>
                <w:color w:val="0C6E83"/>
                <w:sz w:val="27"/>
                <w:szCs w:val="27"/>
                <w:lang w:eastAsia="ru-RU"/>
              </w:rPr>
            </w:pPr>
            <w:hyperlink r:id="rId34" w:history="1">
              <w:r w:rsidRPr="00767217">
                <w:rPr>
                  <w:rFonts w:ascii="Arial Narrow" w:eastAsia="Times New Roman" w:hAnsi="Arial Narrow" w:cs="Arial"/>
                  <w:color w:val="0C6E83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Вопросы и ответы</w:t>
              </w:r>
            </w:hyperlink>
          </w:p>
          <w:p w:rsidR="00767217" w:rsidRPr="00767217" w:rsidRDefault="00767217" w:rsidP="00767217">
            <w:pPr>
              <w:spacing w:after="0" w:line="420" w:lineRule="atLeast"/>
              <w:rPr>
                <w:rFonts w:ascii="Arial Narrow" w:eastAsia="Times New Roman" w:hAnsi="Arial Narrow" w:cs="Arial"/>
                <w:color w:val="0C6E83"/>
                <w:sz w:val="30"/>
                <w:szCs w:val="30"/>
                <w:lang w:eastAsia="ru-RU"/>
              </w:rPr>
            </w:pPr>
            <w:r w:rsidRPr="00767217">
              <w:rPr>
                <w:rFonts w:ascii="Arial Narrow" w:eastAsia="Times New Roman" w:hAnsi="Arial Narrow" w:cs="Arial"/>
                <w:b/>
                <w:bCs/>
                <w:color w:val="FF0A00"/>
                <w:sz w:val="30"/>
                <w:szCs w:val="30"/>
                <w:lang w:eastAsia="ru-RU"/>
              </w:rPr>
              <w:t>Вас рад проконсультировать</w:t>
            </w:r>
          </w:p>
          <w:p w:rsidR="00767217" w:rsidRPr="00767217" w:rsidRDefault="00767217" w:rsidP="00767217">
            <w:pPr>
              <w:spacing w:before="270" w:after="135" w:line="336" w:lineRule="atLeast"/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с 8-00 до 17-00 (</w:t>
            </w:r>
            <w:proofErr w:type="spellStart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пн</w:t>
            </w:r>
            <w:proofErr w:type="spellEnd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вт</w:t>
            </w:r>
            <w:proofErr w:type="spellEnd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 xml:space="preserve">, ср, </w:t>
            </w:r>
            <w:proofErr w:type="spellStart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чт</w:t>
            </w:r>
            <w:proofErr w:type="spellEnd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пт</w:t>
            </w:r>
            <w:proofErr w:type="spellEnd"/>
            <w:r w:rsidRPr="00767217">
              <w:rPr>
                <w:rFonts w:ascii="Arial" w:eastAsia="Times New Roman" w:hAnsi="Arial" w:cs="Arial"/>
                <w:color w:val="005115"/>
                <w:sz w:val="24"/>
                <w:szCs w:val="24"/>
                <w:u w:val="single"/>
                <w:lang w:eastAsia="ru-RU"/>
              </w:rPr>
              <w:t>)</w:t>
            </w:r>
          </w:p>
          <w:p w:rsidR="00767217" w:rsidRPr="00767217" w:rsidRDefault="00767217" w:rsidP="00767217">
            <w:pPr>
              <w:spacing w:before="240"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7217">
              <w:rPr>
                <w:rFonts w:ascii="Arial" w:eastAsia="Times New Roman" w:hAnsi="Arial" w:cs="Arial"/>
                <w:noProof/>
                <w:color w:val="005115"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1257300"/>
                  <wp:effectExtent l="0" t="0" r="9525" b="0"/>
                  <wp:wrapSquare wrapText="bothSides"/>
                  <wp:docPr id="3" name="Рисунок 3" descr="http://rcr-mchs.ru/images/photo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cr-mchs.ru/images/photo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</w:t>
            </w:r>
          </w:p>
          <w:p w:rsidR="00767217" w:rsidRPr="00767217" w:rsidRDefault="00767217" w:rsidP="00767217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приемная +7(843) 564-55-17</w:t>
            </w:r>
          </w:p>
          <w:p w:rsidR="00767217" w:rsidRPr="00767217" w:rsidRDefault="00767217" w:rsidP="00767217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72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факс +7(843) 555-80-31</w:t>
            </w:r>
          </w:p>
          <w:p w:rsidR="00767217" w:rsidRPr="00767217" w:rsidRDefault="00767217" w:rsidP="00767217">
            <w:pPr>
              <w:spacing w:before="240"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</w:p>
          <w:p w:rsidR="00767217" w:rsidRPr="00767217" w:rsidRDefault="00767217" w:rsidP="00767217">
            <w:pPr>
              <w:spacing w:before="135" w:after="135" w:line="294" w:lineRule="atLeast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  <w:r w:rsidRPr="00767217"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  <w:t> </w:t>
            </w:r>
          </w:p>
        </w:tc>
      </w:tr>
      <w:tr w:rsidR="00767217" w:rsidRPr="00767217" w:rsidTr="00767217">
        <w:tc>
          <w:tcPr>
            <w:tcW w:w="0" w:type="auto"/>
            <w:gridSpan w:val="2"/>
            <w:shd w:val="clear" w:color="auto" w:fill="FAFBF1"/>
            <w:tcMar>
              <w:top w:w="180" w:type="dxa"/>
              <w:left w:w="435" w:type="dxa"/>
              <w:bottom w:w="300" w:type="dxa"/>
              <w:right w:w="150" w:type="dxa"/>
            </w:tcMar>
            <w:hideMark/>
          </w:tcPr>
          <w:p w:rsidR="00767217" w:rsidRPr="00767217" w:rsidRDefault="00767217" w:rsidP="00767217">
            <w:pPr>
              <w:spacing w:after="0" w:line="240" w:lineRule="auto"/>
              <w:rPr>
                <w:rFonts w:ascii="Arial" w:eastAsia="Times New Roman" w:hAnsi="Arial" w:cs="Arial"/>
                <w:color w:val="670201"/>
                <w:sz w:val="21"/>
                <w:szCs w:val="21"/>
                <w:lang w:eastAsia="ru-RU"/>
              </w:rPr>
            </w:pPr>
          </w:p>
        </w:tc>
      </w:tr>
    </w:tbl>
    <w:p w:rsidR="00207D60" w:rsidRDefault="00207D60">
      <w:bookmarkStart w:id="0" w:name="_GoBack"/>
      <w:bookmarkEnd w:id="0"/>
    </w:p>
    <w:sectPr w:rsidR="0020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706"/>
    <w:multiLevelType w:val="multilevel"/>
    <w:tmpl w:val="E32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57B"/>
    <w:multiLevelType w:val="multilevel"/>
    <w:tmpl w:val="CA2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4301"/>
    <w:multiLevelType w:val="multilevel"/>
    <w:tmpl w:val="642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A0E6E"/>
    <w:multiLevelType w:val="multilevel"/>
    <w:tmpl w:val="676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C77CA"/>
    <w:multiLevelType w:val="multilevel"/>
    <w:tmpl w:val="A60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D7CAD"/>
    <w:multiLevelType w:val="multilevel"/>
    <w:tmpl w:val="73A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D7F2E"/>
    <w:multiLevelType w:val="multilevel"/>
    <w:tmpl w:val="9EA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E9"/>
    <w:rsid w:val="00207D60"/>
    <w:rsid w:val="00767217"/>
    <w:rsid w:val="00D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2D5A7-AABE-42E3-91B1-D258809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217"/>
    <w:rPr>
      <w:b/>
      <w:bCs/>
    </w:rPr>
  </w:style>
  <w:style w:type="character" w:styleId="a5">
    <w:name w:val="Emphasis"/>
    <w:basedOn w:val="a0"/>
    <w:uiPriority w:val="20"/>
    <w:qFormat/>
    <w:rsid w:val="00767217"/>
    <w:rPr>
      <w:i/>
      <w:iCs/>
    </w:rPr>
  </w:style>
  <w:style w:type="character" w:styleId="a6">
    <w:name w:val="Hyperlink"/>
    <w:basedOn w:val="a0"/>
    <w:uiPriority w:val="99"/>
    <w:semiHidden/>
    <w:unhideWhenUsed/>
    <w:rsid w:val="00767217"/>
    <w:rPr>
      <w:color w:val="0000FF"/>
      <w:u w:val="single"/>
    </w:rPr>
  </w:style>
  <w:style w:type="paragraph" w:customStyle="1" w:styleId="h2">
    <w:name w:val="h2"/>
    <w:basedOn w:val="a"/>
    <w:rsid w:val="0076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6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">
    <w:name w:val="mini"/>
    <w:basedOn w:val="a"/>
    <w:rsid w:val="0076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76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r-mchs.ru/page.php?id=18" TargetMode="External"/><Relationship Id="rId18" Type="http://schemas.openxmlformats.org/officeDocument/2006/relationships/hyperlink" Target="http://rcr-mchs.ru/page.php?%20id=82" TargetMode="External"/><Relationship Id="rId26" Type="http://schemas.openxmlformats.org/officeDocument/2006/relationships/hyperlink" Target="http://rcr-mchs.ru/page.php?idd=98" TargetMode="External"/><Relationship Id="rId21" Type="http://schemas.openxmlformats.org/officeDocument/2006/relationships/hyperlink" Target="http://rcr-mchs.ru/page.php?%20id=83" TargetMode="External"/><Relationship Id="rId34" Type="http://schemas.openxmlformats.org/officeDocument/2006/relationships/hyperlink" Target="http://rcr-mchs.ru/faq.php" TargetMode="External"/><Relationship Id="rId7" Type="http://schemas.openxmlformats.org/officeDocument/2006/relationships/hyperlink" Target="http://rcr-mchs.ru/page.php?id=5" TargetMode="External"/><Relationship Id="rId12" Type="http://schemas.openxmlformats.org/officeDocument/2006/relationships/hyperlink" Target="http://rcr-mchs.ru/page.php?id=17" TargetMode="External"/><Relationship Id="rId17" Type="http://schemas.openxmlformats.org/officeDocument/2006/relationships/hyperlink" Target="http://rcr-mchs.ru/page.php?%20id=9" TargetMode="External"/><Relationship Id="rId25" Type="http://schemas.openxmlformats.org/officeDocument/2006/relationships/hyperlink" Target="http://rcr-mchs.ru/page.php?%20%20id=10" TargetMode="External"/><Relationship Id="rId33" Type="http://schemas.openxmlformats.org/officeDocument/2006/relationships/hyperlink" Target="mailto:Rifkat.Bakir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-mchs.ru/page.php?%20id=81" TargetMode="External"/><Relationship Id="rId20" Type="http://schemas.openxmlformats.org/officeDocument/2006/relationships/hyperlink" Target="http://rcr-mchs.ru/page.php?idd=101" TargetMode="External"/><Relationship Id="rId29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rcr-mchs.ru/page.php?idd=106" TargetMode="External"/><Relationship Id="rId11" Type="http://schemas.openxmlformats.org/officeDocument/2006/relationships/hyperlink" Target="http://rcr-mchs.ru/page.php?idd=79" TargetMode="External"/><Relationship Id="rId24" Type="http://schemas.openxmlformats.org/officeDocument/2006/relationships/hyperlink" Target="http://rcr-mchs.ru/page.php?idd=86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hyperlink" Target="http://rcr-mchs.ru/page.php?idd=103" TargetMode="External"/><Relationship Id="rId15" Type="http://schemas.openxmlformats.org/officeDocument/2006/relationships/hyperlink" Target="http://rcr-mchs.ru/page.php?idd=14" TargetMode="External"/><Relationship Id="rId23" Type="http://schemas.openxmlformats.org/officeDocument/2006/relationships/hyperlink" Target="http://rcr-mchs.ru/page.php?idd=102" TargetMode="External"/><Relationship Id="rId28" Type="http://schemas.openxmlformats.org/officeDocument/2006/relationships/hyperlink" Target="http://pravo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cr-mchs.ru/page.php?id=8" TargetMode="External"/><Relationship Id="rId19" Type="http://schemas.openxmlformats.org/officeDocument/2006/relationships/hyperlink" Target="http://rcr-mchs.ru/page.php?%20id=84" TargetMode="External"/><Relationship Id="rId31" Type="http://schemas.openxmlformats.org/officeDocument/2006/relationships/hyperlink" Target="http://www.lazm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-mchs.ru/page.php?id=7" TargetMode="External"/><Relationship Id="rId14" Type="http://schemas.openxmlformats.org/officeDocument/2006/relationships/hyperlink" Target="http://rcr-mchs.ru/page.php?id=19" TargetMode="External"/><Relationship Id="rId22" Type="http://schemas.openxmlformats.org/officeDocument/2006/relationships/hyperlink" Target="http://rcr-mchs.ru/page.php?idd=85" TargetMode="External"/><Relationship Id="rId27" Type="http://schemas.openxmlformats.org/officeDocument/2006/relationships/hyperlink" Target="http://rcr-mchs.ru/page.php?idd=97" TargetMode="External"/><Relationship Id="rId30" Type="http://schemas.openxmlformats.org/officeDocument/2006/relationships/hyperlink" Target="http://mchs.tatar.ru/rus/index.htm" TargetMode="External"/><Relationship Id="rId35" Type="http://schemas.openxmlformats.org/officeDocument/2006/relationships/image" Target="media/image3.jpeg"/><Relationship Id="rId8" Type="http://schemas.openxmlformats.org/officeDocument/2006/relationships/hyperlink" Target="http://rcr-mchs.ru/page.php?id=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2019-09-16T09:05:00Z</dcterms:created>
  <dcterms:modified xsi:type="dcterms:W3CDTF">2019-09-16T09:05:00Z</dcterms:modified>
</cp:coreProperties>
</file>