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Для выполнения исследований, мочу и кал необходимо доставить в лабораторию в специальных контейнерах. </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Факторы, влияющие на результаты лабораторных исследований:</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Лекарственные средства.</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Приём пищи.</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Физические и эмоциональные перегрузки</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Алкоголь.</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Курение.</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Физиопроцедуры, инструментальные обследования, проводимые до сдачи биоматериалов.</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Фаза менструального цикла у женщин.</w:t>
      </w:r>
    </w:p>
    <w:p w:rsidR="00591C93" w:rsidRPr="00591C93" w:rsidRDefault="00591C93" w:rsidP="00591C93">
      <w:pPr>
        <w:numPr>
          <w:ilvl w:val="0"/>
          <w:numId w:val="1"/>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 </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Общие правила при подготовке к исследованию: </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По возможности, рекомендуется сдавать кровь утром, в период с 8 до 11 часов, натощак (не менее 8 часов и не более 10 часов голода, питье – вода, в обычном режиме), накануне избегать пищевых перегрузок.</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Более строгие требования к пищевому режиму предъявляются в следующих случаях: </w:t>
      </w:r>
      <w:r w:rsidRPr="00591C93">
        <w:rPr>
          <w:rFonts w:ascii="Arial" w:eastAsia="Times New Roman" w:hAnsi="Arial" w:cs="Arial"/>
          <w:color w:val="333333"/>
          <w:sz w:val="24"/>
          <w:szCs w:val="24"/>
          <w:lang w:eastAsia="ru-RU"/>
        </w:rPr>
        <w:br/>
      </w:r>
      <w:r w:rsidRPr="00591C93">
        <w:rPr>
          <w:rFonts w:ascii="Arial" w:eastAsia="Times New Roman" w:hAnsi="Arial" w:cs="Arial"/>
          <w:color w:val="808080"/>
          <w:sz w:val="24"/>
          <w:szCs w:val="24"/>
          <w:lang w:eastAsia="ru-RU"/>
        </w:rPr>
        <w:t>- строго натощак, после 12 - 14 часового голодания, следует сдавать кровь для определения параметров липидного профиля (холестерол, ЛПВП, ЛПНП, триглицериды);</w:t>
      </w:r>
      <w:r w:rsidRPr="00591C93">
        <w:rPr>
          <w:rFonts w:ascii="Arial" w:eastAsia="Times New Roman" w:hAnsi="Arial" w:cs="Arial"/>
          <w:color w:val="333333"/>
          <w:sz w:val="24"/>
          <w:szCs w:val="24"/>
          <w:lang w:eastAsia="ru-RU"/>
        </w:rPr>
        <w:br/>
      </w:r>
      <w:r w:rsidRPr="00591C93">
        <w:rPr>
          <w:rFonts w:ascii="Arial" w:eastAsia="Times New Roman" w:hAnsi="Arial" w:cs="Arial"/>
          <w:color w:val="808080"/>
          <w:sz w:val="24"/>
          <w:szCs w:val="24"/>
          <w:lang w:eastAsia="ru-RU"/>
        </w:rPr>
        <w:t>- глюкозотолерантный тест выполняется утром натощак после не менее 12-ти, но не более 16-ти часов голодания.</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Алкоголь – исключить приём алкоголя накануне исследования.</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Курение - не курить минимально в течение 1 часа до исследования.</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Исключить физические и эмоциональные стрессы накануне исследования.</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lastRenderedPageBreak/>
        <w:t>После прихода в лабораторию рекомендуется отдохнуть (лучше - посидеть) 10-20 минут перед взятием проб крови.</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591C93" w:rsidRPr="00591C93" w:rsidRDefault="00591C93" w:rsidP="00591C93">
      <w:pPr>
        <w:numPr>
          <w:ilvl w:val="0"/>
          <w:numId w:val="2"/>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 </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Общий анализ мочи </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Сбор анализа осуществляется в контейнер для анализа мочи. </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Женщинам не рекомендуется сдавать анализ мочи во время менструации.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Сразу после сбора мочи плотно закройте контейнер завинчивающейся крышкой.</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Доставить пробирку с мочой в лабораторию необходимо в течение дня (по графику приёма биоматериала до 11).  </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Анализ мочи по Нечипоренко</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Бактериологический посев мочи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Моча собирается в стерильную посуду так же, как для пробы Нечипоренко</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lastRenderedPageBreak/>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Проба Реберга</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Анализ мочи по Зимницкому</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591C93" w:rsidRPr="00591C93" w:rsidRDefault="00591C93" w:rsidP="00591C93">
      <w:pPr>
        <w:numPr>
          <w:ilvl w:val="0"/>
          <w:numId w:val="3"/>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Сбор суточной мочи для биохимического анализа </w:t>
      </w:r>
    </w:p>
    <w:p w:rsidR="00591C93" w:rsidRPr="00591C93" w:rsidRDefault="00591C93" w:rsidP="00591C93">
      <w:pPr>
        <w:numPr>
          <w:ilvl w:val="0"/>
          <w:numId w:val="4"/>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Собирается моча за сутки.</w:t>
      </w:r>
    </w:p>
    <w:p w:rsidR="00591C93" w:rsidRPr="00591C93" w:rsidRDefault="00591C93" w:rsidP="00591C93">
      <w:pPr>
        <w:numPr>
          <w:ilvl w:val="0"/>
          <w:numId w:val="4"/>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 </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Анализ кала </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lastRenderedPageBreak/>
        <w:t>Сбор анализа осуществляется в контейнер для анализа кала (с лопаткой).</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591C93" w:rsidRPr="00591C93" w:rsidRDefault="00591C93" w:rsidP="00591C93">
      <w:pPr>
        <w:numPr>
          <w:ilvl w:val="0"/>
          <w:numId w:val="5"/>
        </w:numPr>
        <w:shd w:val="clear" w:color="auto" w:fill="FFFFFF"/>
        <w:spacing w:before="100" w:beforeAutospacing="1" w:after="100" w:afterAutospacing="1" w:line="375" w:lineRule="atLeast"/>
        <w:ind w:left="375"/>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Условия, соблюдение которых обязательно:</w:t>
      </w:r>
      <w:r w:rsidRPr="00591C93">
        <w:rPr>
          <w:rFonts w:ascii="Arial" w:eastAsia="Times New Roman" w:hAnsi="Arial" w:cs="Arial"/>
          <w:color w:val="333333"/>
          <w:sz w:val="24"/>
          <w:szCs w:val="24"/>
          <w:lang w:eastAsia="ru-RU"/>
        </w:rPr>
        <w:br/>
      </w:r>
      <w:r w:rsidRPr="00591C93">
        <w:rPr>
          <w:rFonts w:ascii="Arial" w:eastAsia="Times New Roman" w:hAnsi="Arial" w:cs="Arial"/>
          <w:color w:val="808080"/>
          <w:sz w:val="24"/>
          <w:szCs w:val="24"/>
          <w:lang w:eastAsia="ru-RU"/>
        </w:rPr>
        <w:t>- не допускается замораживание;</w:t>
      </w:r>
      <w:r w:rsidRPr="00591C93">
        <w:rPr>
          <w:rFonts w:ascii="Arial" w:eastAsia="Times New Roman" w:hAnsi="Arial" w:cs="Arial"/>
          <w:color w:val="333333"/>
          <w:sz w:val="24"/>
          <w:szCs w:val="24"/>
          <w:lang w:eastAsia="ru-RU"/>
        </w:rPr>
        <w:br/>
      </w:r>
      <w:r w:rsidRPr="00591C93">
        <w:rPr>
          <w:rFonts w:ascii="Arial" w:eastAsia="Times New Roman" w:hAnsi="Arial" w:cs="Arial"/>
          <w:color w:val="808080"/>
          <w:sz w:val="24"/>
          <w:szCs w:val="24"/>
          <w:lang w:eastAsia="ru-RU"/>
        </w:rPr>
        <w:t>- не допускается длительное хранение (более 5 - 6 часов);</w:t>
      </w:r>
      <w:r w:rsidRPr="00591C93">
        <w:rPr>
          <w:rFonts w:ascii="Arial" w:eastAsia="Times New Roman" w:hAnsi="Arial" w:cs="Arial"/>
          <w:color w:val="333333"/>
          <w:sz w:val="24"/>
          <w:szCs w:val="24"/>
          <w:lang w:eastAsia="ru-RU"/>
        </w:rPr>
        <w:br/>
      </w:r>
      <w:r w:rsidRPr="00591C93">
        <w:rPr>
          <w:rFonts w:ascii="Arial" w:eastAsia="Times New Roman" w:hAnsi="Arial" w:cs="Arial"/>
          <w:color w:val="808080"/>
          <w:sz w:val="24"/>
          <w:szCs w:val="24"/>
          <w:lang w:eastAsia="ru-RU"/>
        </w:rPr>
        <w:t>- не допускается неплотно закрытый контейнер;</w:t>
      </w:r>
      <w:r w:rsidRPr="00591C93">
        <w:rPr>
          <w:rFonts w:ascii="Arial" w:eastAsia="Times New Roman" w:hAnsi="Arial" w:cs="Arial"/>
          <w:color w:val="333333"/>
          <w:sz w:val="24"/>
          <w:szCs w:val="24"/>
          <w:lang w:eastAsia="ru-RU"/>
        </w:rPr>
        <w:br/>
      </w:r>
      <w:r w:rsidRPr="00591C93">
        <w:rPr>
          <w:rFonts w:ascii="Arial" w:eastAsia="Times New Roman" w:hAnsi="Arial" w:cs="Arial"/>
          <w:color w:val="808080"/>
          <w:sz w:val="24"/>
          <w:szCs w:val="24"/>
          <w:lang w:eastAsia="ru-RU"/>
        </w:rPr>
        <w:t>- не подлежит исследованию биоматериал, собранный накануне. </w:t>
      </w:r>
    </w:p>
    <w:p w:rsidR="00591C93" w:rsidRPr="00591C93" w:rsidRDefault="00591C93" w:rsidP="00591C93">
      <w:pPr>
        <w:shd w:val="clear" w:color="auto" w:fill="FFFFFF"/>
        <w:spacing w:after="450" w:line="450" w:lineRule="atLeast"/>
        <w:outlineLvl w:val="2"/>
        <w:rPr>
          <w:rFonts w:ascii="Arial" w:eastAsia="Times New Roman" w:hAnsi="Arial" w:cs="Arial"/>
          <w:color w:val="FFFFFF"/>
          <w:sz w:val="54"/>
          <w:szCs w:val="54"/>
          <w:lang w:eastAsia="ru-RU"/>
        </w:rPr>
      </w:pPr>
      <w:r w:rsidRPr="00591C93">
        <w:rPr>
          <w:rFonts w:ascii="Arial" w:eastAsia="Times New Roman" w:hAnsi="Arial" w:cs="Arial"/>
          <w:color w:val="808080"/>
          <w:sz w:val="54"/>
          <w:szCs w:val="54"/>
          <w:lang w:eastAsia="ru-RU"/>
        </w:rPr>
        <w:t>Подготовка к исследованию на дисбактериоз</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Биоматериал (кал) на кишечный дисбактериоз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 Для исследования собирают только свежевыделенный кал.</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 xml:space="preserve">За 3-4 дня до исследования необходимо отменить прием слабительных препаратов, касторового и вазелинового масла и прекратить введение ректальных </w:t>
      </w:r>
      <w:r w:rsidRPr="00591C93">
        <w:rPr>
          <w:rFonts w:ascii="Arial" w:eastAsia="Times New Roman" w:hAnsi="Arial" w:cs="Arial"/>
          <w:color w:val="808080"/>
          <w:sz w:val="24"/>
          <w:szCs w:val="24"/>
          <w:lang w:eastAsia="ru-RU"/>
        </w:rPr>
        <w:lastRenderedPageBreak/>
        <w:t>свечей. Кал, полученный после клизмы, а также после приема бария (при рентгенологическом обследовании), для исследования непригоден.</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Специальную стерильную емкость для сбора кала необходимо получить заранее в центре обследования пациентов. Предварительно напишите на этикетке емкости для кала свои данные: ФИО, дату рождения, дату и время сбора материала. Запись должна быть сделана разборчивым почерком.</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При взятии материала необходимо соблюдать стерильность. До сбора кала помочитесь в унитаз и смойте. Далее, путем естественной дефекации в подкладное судно, соберите испражнения (важно проследить,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 Кал забирается в контейнер ложечкой в количестве не более 1/3 объема контейнера.</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Материал доставляется в любой Центр обследования пациентов лабораториив течение 3 часов с момента сбора.Внимание! Имеются ограничения по времени и дням приема биоматериала, уточняйте информацию по контактным телефонам центров.Желательно в течение указанного времени материал хранить в холоде (для этого можно использовать хладопакет или обложить контейнер кубиками льда, приготовленными заранее), но не замораживать.</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Внимание! Условия, соблюдение которых обязательно: не допускается замораживание кала, не допускается длительное хранение (более 5-6 часов), не пригодны никакие транспортные среды, кроме указанной, контейнер должен быть плотно закрыт.</w:t>
      </w:r>
    </w:p>
    <w:p w:rsidR="00591C93" w:rsidRPr="00591C93" w:rsidRDefault="00591C93" w:rsidP="00591C93">
      <w:pPr>
        <w:shd w:val="clear" w:color="auto" w:fill="FFFFFF"/>
        <w:spacing w:after="450" w:line="450" w:lineRule="atLeast"/>
        <w:outlineLvl w:val="2"/>
        <w:rPr>
          <w:rFonts w:ascii="Arial" w:eastAsia="Times New Roman" w:hAnsi="Arial" w:cs="Arial"/>
          <w:color w:val="FFFFFF"/>
          <w:sz w:val="54"/>
          <w:szCs w:val="54"/>
          <w:lang w:eastAsia="ru-RU"/>
        </w:rPr>
      </w:pPr>
      <w:r w:rsidRPr="00591C93">
        <w:rPr>
          <w:rFonts w:ascii="Arial" w:eastAsia="Times New Roman" w:hAnsi="Arial" w:cs="Arial"/>
          <w:color w:val="808080"/>
          <w:sz w:val="54"/>
          <w:szCs w:val="54"/>
          <w:lang w:eastAsia="ru-RU"/>
        </w:rPr>
        <w:t>Исследование кала на простейшие и яйца гельминтов</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Для паразитологических исследований кала специальной подготовки не требуется. Емкость для сбора кала необходимо получить заранее в центре обследования пациентов. Предварительно напишите на этикетке емкости для кала Ваши данные: Ф.И.О., дату рождения, дату и время сбора материала, запись должна быть сделана разборчивым почерком.</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До сбора кала предварительно помочитесь в унитаз и смойте. Далее, путем естественной дефекации в унитаз или подкладное судно, соберите испражнения. Затем кал забирается ложечкой в контейнер в количестве не более 1/3 объема контейнера. Кал необходимо доставить в центр обследования пациентов как можно скорее.</w:t>
      </w:r>
    </w:p>
    <w:p w:rsidR="00591C93" w:rsidRPr="00591C93" w:rsidRDefault="00591C93" w:rsidP="00591C93">
      <w:pPr>
        <w:shd w:val="clear" w:color="auto" w:fill="FFFFFF"/>
        <w:spacing w:after="0" w:line="240" w:lineRule="auto"/>
        <w:rPr>
          <w:rFonts w:ascii="Arial" w:eastAsia="Times New Roman" w:hAnsi="Arial" w:cs="Arial"/>
          <w:color w:val="333333"/>
          <w:sz w:val="24"/>
          <w:szCs w:val="24"/>
          <w:lang w:eastAsia="ru-RU"/>
        </w:rPr>
      </w:pPr>
      <w:r w:rsidRPr="00591C93">
        <w:rPr>
          <w:rFonts w:ascii="Arial" w:eastAsia="Times New Roman" w:hAnsi="Arial" w:cs="Arial"/>
          <w:color w:val="808080"/>
          <w:sz w:val="24"/>
          <w:szCs w:val="24"/>
          <w:lang w:eastAsia="ru-RU"/>
        </w:rPr>
        <w:t>Внимание! Время доставки кала после его сбора имеет важнейшее значение для получения достоверных результатов Ваших анализов. Недопустимо направлять кал на исследование в емкостях, не предназначенных для этих целей, так как остатки содержащихся в таких емкостях ингредиентов могут существенным образом исказить результаты Ваших анализов.</w:t>
      </w:r>
    </w:p>
    <w:p w:rsidR="00236AD6" w:rsidRDefault="00236AD6" w:rsidP="008B45DA">
      <w:bookmarkStart w:id="0" w:name="_GoBack"/>
      <w:bookmarkEnd w:id="0"/>
    </w:p>
    <w:sectPr w:rsidR="0023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777"/>
    <w:multiLevelType w:val="multilevel"/>
    <w:tmpl w:val="7A88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22CCA"/>
    <w:multiLevelType w:val="multilevel"/>
    <w:tmpl w:val="F8E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E22D3"/>
    <w:multiLevelType w:val="multilevel"/>
    <w:tmpl w:val="7B5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659BD"/>
    <w:multiLevelType w:val="multilevel"/>
    <w:tmpl w:val="BD8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52C58"/>
    <w:multiLevelType w:val="multilevel"/>
    <w:tmpl w:val="D99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A"/>
    <w:rsid w:val="00236AD6"/>
    <w:rsid w:val="00262E4A"/>
    <w:rsid w:val="00591C93"/>
    <w:rsid w:val="008B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7FAB"/>
  <w15:chartTrackingRefBased/>
  <w15:docId w15:val="{8447A01B-1547-493E-8AD2-71258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91C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5DA"/>
    <w:rPr>
      <w:color w:val="0563C1" w:themeColor="hyperlink"/>
      <w:u w:val="single"/>
    </w:rPr>
  </w:style>
  <w:style w:type="character" w:customStyle="1" w:styleId="30">
    <w:name w:val="Заголовок 3 Знак"/>
    <w:basedOn w:val="a0"/>
    <w:link w:val="3"/>
    <w:uiPriority w:val="9"/>
    <w:rsid w:val="00591C9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91C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7427">
      <w:bodyDiv w:val="1"/>
      <w:marLeft w:val="0"/>
      <w:marRight w:val="0"/>
      <w:marTop w:val="0"/>
      <w:marBottom w:val="0"/>
      <w:divBdr>
        <w:top w:val="none" w:sz="0" w:space="0" w:color="auto"/>
        <w:left w:val="none" w:sz="0" w:space="0" w:color="auto"/>
        <w:bottom w:val="none" w:sz="0" w:space="0" w:color="auto"/>
        <w:right w:val="none" w:sz="0" w:space="0" w:color="auto"/>
      </w:divBdr>
    </w:div>
    <w:div w:id="1267926853">
      <w:bodyDiv w:val="1"/>
      <w:marLeft w:val="0"/>
      <w:marRight w:val="0"/>
      <w:marTop w:val="0"/>
      <w:marBottom w:val="0"/>
      <w:divBdr>
        <w:top w:val="none" w:sz="0" w:space="0" w:color="auto"/>
        <w:left w:val="none" w:sz="0" w:space="0" w:color="auto"/>
        <w:bottom w:val="none" w:sz="0" w:space="0" w:color="auto"/>
        <w:right w:val="none" w:sz="0" w:space="0" w:color="auto"/>
      </w:divBdr>
    </w:div>
    <w:div w:id="17957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9078</Characters>
  <Application>Microsoft Office Word</Application>
  <DocSecurity>0</DocSecurity>
  <Lines>75</Lines>
  <Paragraphs>21</Paragraphs>
  <ScaleCrop>false</ScaleCrop>
  <Company>SPecialiST RePack</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2019-08-18T14:41:00Z</dcterms:created>
  <dcterms:modified xsi:type="dcterms:W3CDTF">2019-08-18T14:42:00Z</dcterms:modified>
</cp:coreProperties>
</file>