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6F" w:rsidRPr="00E35B6F" w:rsidRDefault="00E35B6F" w:rsidP="00E35B6F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35B6F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ОКАЗЫВАЕМЫХ НА ВОЗМЕЗДНОЙ</w:t>
      </w:r>
      <w:r w:rsidRPr="00E35B6F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</w:r>
      <w:r w:rsidRPr="00E35B6F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ОСНОВЕ ЗА СЧЕТ СРЕДСТВ ПРЕДПРИЯТИЙ, УЧРЕЖДЕНИЙ, ОРГАНИЗАЦИЙ,</w:t>
      </w:r>
      <w:r w:rsidRPr="00E35B6F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</w:r>
      <w:r w:rsidRPr="00E35B6F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ЛИЧНЫХ СРЕДСТВ ГРАЖДАН И ИНЫХ ИСТОЧНИКОВ, НЕ ЗАПРЕЩЕННЫХ</w:t>
      </w:r>
      <w:r w:rsidRPr="00E35B6F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</w:r>
      <w:r w:rsidRPr="00E35B6F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ЗАКОНОДАТЕЛЬСТВОМ РФ ПО ГУЗ ЯО «ЦРБ им.Д.Л.СОКОЛОВА»</w:t>
      </w:r>
    </w:p>
    <w:p w:rsidR="00E35B6F" w:rsidRPr="00E35B6F" w:rsidRDefault="00E35B6F" w:rsidP="00E35B6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Обязательные предварительные при поступлении на работу и периодические медицинские осмотры работников в случаях и порядке, предусмотренных законодательством РФ.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Медицинские осмотры:</w:t>
      </w:r>
    </w:p>
    <w:p w:rsidR="00E35B6F" w:rsidRPr="00E35B6F" w:rsidRDefault="00E35B6F" w:rsidP="00E35B6F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водителей автотранспорта, лиц для получения разрешения на право владения оружием ( кроме инвалидов и ветеранов ВОВ и категорий граждан, определенных федеральными законами «О статусе Героев Советского Союза, Героев Российской Федерации и полных кавалеров ордена Славы», «О предоставлении социальных гарантий Героям социалистического труда и полным кавалерам ордена Трудовой Славы»);</w:t>
      </w:r>
    </w:p>
    <w:p w:rsidR="00E35B6F" w:rsidRPr="00E35B6F" w:rsidRDefault="00E35B6F" w:rsidP="00E35B6F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водителей предрейсовые и послерейсовые;</w:t>
      </w:r>
    </w:p>
    <w:p w:rsidR="00E35B6F" w:rsidRPr="00E35B6F" w:rsidRDefault="00E35B6F" w:rsidP="00E35B6F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лиц, обратившихся за справкой для посещения бассейна (кроме детей до 18 лет) и для проживания в общежитии;</w:t>
      </w:r>
    </w:p>
    <w:p w:rsidR="00E35B6F" w:rsidRPr="00E35B6F" w:rsidRDefault="00E35B6F" w:rsidP="00E35B6F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лиц, обратившихся за справкой для поступления в учебное заведение (старше 18 лет, кроме учащихся общеобразовательных школ, а также лиц из числа детей-сирот и детей, оставшихся без попечения родителей до 23 лет);</w:t>
      </w:r>
    </w:p>
    <w:p w:rsidR="00E35B6F" w:rsidRPr="00E35B6F" w:rsidRDefault="00E35B6F" w:rsidP="00E35B6F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лиц, обратившихся за получением выездной визы (кроме детей до 18 лет);</w:t>
      </w:r>
    </w:p>
    <w:p w:rsidR="00E35B6F" w:rsidRPr="00E35B6F" w:rsidRDefault="00E35B6F" w:rsidP="00E35B6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Иные виды медицинского освидетельствования, осмотров, экспертиз (в том числе экспертиз алкогольного и неалкогольного опьянения), проводимых по личной инициативе граждан и организаций.</w:t>
      </w:r>
    </w:p>
    <w:p w:rsidR="00E35B6F" w:rsidRPr="00E35B6F" w:rsidRDefault="00E35B6F" w:rsidP="00E35B6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Консультации специалистов, предоставляемые в случае оказания услуг вне листа ожидания по желанию пациента или лицам без страхового медицинского полиса обязательного медицинского страхования при предоставлении плановой медицинской помощи: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3.1. Консультация врача-хирурга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3.2. Консультация врача-офтальмолога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3.3. Консультация врача-терапевта участкового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3.4. Консультация врача-отоларинголога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3.5. Консультация врача-эндокринолога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3.6. Консультация врача-невролога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3.7. Консультация врача-физиотерапевта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3.8. Консультация врача-стоматолога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3.9. Консультация врача-психиатра-нарколога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3.10. Консультация врача-инфекциониста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3.11. Консультация врача по восстановительной медицине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3.12. Внутривенная инъекция (лицам без медицинского полиса)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3.13. Внутримышечная инъекция (лицам без медицинского полиса)</w:t>
      </w:r>
    </w:p>
    <w:p w:rsidR="00E35B6F" w:rsidRPr="00E35B6F" w:rsidRDefault="00E35B6F" w:rsidP="00E35B6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Лечебно-диагностические: лабораторные, функциональные, рентгенологические, ультразвуковые, эндоскопические исследования и процедуры, проводимые по желанию пациента сверх стандарта обследования и (или) лечения, вне листа ожидания, лицам без страхового медицинского полиса обязательного медицинского страхования при оказании плановой медицинской помощи, при проведении всех видов медицинских осмотров: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4.1. Лабараторные;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4.2. Функциональные;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4.3. Рентгенологические;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4.4. Ультразвуковые;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4.5. Услуги бактериологической лаборатории;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4.6. Эндоскопические;</w:t>
      </w:r>
    </w:p>
    <w:p w:rsidR="00E35B6F" w:rsidRPr="00E35B6F" w:rsidRDefault="00E35B6F" w:rsidP="00E35B6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Индивидуальный уход за пациентами в стационаре по желанию пациента или родственника медицинскими работниками сверх установленного графика рабочего времени: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5.1. Выведение из абстинентного состояния в стационаре (легкая степень абстиненции)</w:t>
      </w:r>
    </w:p>
    <w:p w:rsidR="00E35B6F" w:rsidRPr="00E35B6F" w:rsidRDefault="00E35B6F" w:rsidP="00E35B6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Физиотерапия и лечебная физкультура: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6.1. Массаж без медицинских показаний по желанию пациента</w:t>
      </w:r>
    </w:p>
    <w:p w:rsidR="00E35B6F" w:rsidRPr="00E35B6F" w:rsidRDefault="00E35B6F" w:rsidP="00E35B6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Медицинское обеспечение спортивных соревнований, спортивных, оздоровительных и трудовых лагерей, массовых культурных и общественных мероприятий</w:t>
      </w:r>
    </w:p>
    <w:p w:rsidR="00E35B6F" w:rsidRPr="00E35B6F" w:rsidRDefault="00E35B6F" w:rsidP="00E35B6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Иные услуги: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8.1. Услуги но проведению дезинфекции: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8.2. Приготовление дистиллированной воды: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8.3. Иные услуги: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8.3.1. Стирка и глажение белья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8.3.2. Выписка из истории болезни, амбулаторной карты</w:t>
      </w:r>
      <w:r w:rsidRPr="00E35B6F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br/>
        <w:t>8.3.3. Оформление и выдача дубликатов медицинских документов- документов, удостоверяющих нетрудоспособность.</w:t>
      </w:r>
    </w:p>
    <w:p w:rsidR="00EE4163" w:rsidRDefault="00EE4163">
      <w:bookmarkStart w:id="0" w:name="_GoBack"/>
      <w:bookmarkEnd w:id="0"/>
    </w:p>
    <w:sectPr w:rsidR="00EE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B4202"/>
    <w:multiLevelType w:val="multilevel"/>
    <w:tmpl w:val="2574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75"/>
    <w:rsid w:val="008C1075"/>
    <w:rsid w:val="00E35B6F"/>
    <w:rsid w:val="00E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DF6F6-B289-4881-8466-C0F1D632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2019-11-13T05:46:00Z</dcterms:created>
  <dcterms:modified xsi:type="dcterms:W3CDTF">2019-11-13T05:46:00Z</dcterms:modified>
</cp:coreProperties>
</file>