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64" w:rsidRPr="00F73764" w:rsidRDefault="00F73764" w:rsidP="00F73764">
      <w:pPr>
        <w:shd w:val="clear" w:color="auto" w:fill="FFFFFF"/>
        <w:spacing w:after="0" w:line="300" w:lineRule="atLeast"/>
        <w:outlineLvl w:val="3"/>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ЗАКОНОМ РОССИЙСКОЙ ФЕДЕРАЦИИ «ДОНОРСТВЕ КРОВИ И ЕЕ КОМПОНЕНТОВ», ТАКЖЕ ТРУДОВЫМ КОДЕКСОМ РОССИЙСКОЙ ФЕДЕРАЦИИ ПРЕДУСМОТРЕНЫ СЛЕДУЮЩИЕ ЛЬГОТЫ И ПРИВИЛЕГИИ ДЛЯ ДОНОРОВ.</w:t>
      </w:r>
    </w:p>
    <w:p w:rsidR="00F73764" w:rsidRPr="00F73764" w:rsidRDefault="00F73764" w:rsidP="00F73764">
      <w:pPr>
        <w:shd w:val="clear" w:color="auto" w:fill="FFFFFF"/>
        <w:spacing w:after="0" w:line="300" w:lineRule="atLeast"/>
        <w:outlineLvl w:val="4"/>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В ДЕНЬ СДАЧИ КРОВИ</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В соответствии со ст. 186 Трудового Кодекса РФ в день сдачи крови и ее компонентов, а также в день медицинского обследования донор освобождается от работы на предприятии (в учреждении, организации), независимо от форм собственности, с сохранением за ним среднего заработка за эти дни.</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В случае если по соглашению с администрацией работник, являющийся донором, в день сдачи крови вышел на работу (за исключением работ, связанных с особыми условиями труда), то ему предоставляется по его желанию другой день отдыха с сохранением за ним среднего заработка.</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 </w:t>
      </w:r>
    </w:p>
    <w:p w:rsidR="00F73764" w:rsidRPr="00F73764" w:rsidRDefault="00F73764" w:rsidP="00F73764">
      <w:pPr>
        <w:shd w:val="clear" w:color="auto" w:fill="FFFFFF"/>
        <w:spacing w:after="0" w:line="300" w:lineRule="atLeast"/>
        <w:outlineLvl w:val="4"/>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В ВЫХОДНОЙ, В ПЕРИОД ЕЖЕГОДНОГО ОТПУСКА ИЛИ В ПРАЗДНИЧНЫЙ ДЕНЬ</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в выходной или нерабочий праздничный день работнику по его желанию предоставляется другой день отдыха.</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Обратите внимание. Если работник сдавал кровь в период освобождения от работы по болезни, то другой день отдыха ему не предоставляется. После каждого дня сдачи крови и ее компонентов работнику предоставляется дополнительный день отдыха. Этот день отдыха по желанию работника может быть присоединен к ежегодному оплачиваемому отпуску или использован в другое время в течение календарного года после дня сдачи крови и ее компонентов. Работодатель сохраняет за работником его средний заработок за дни сдачи крови и ее компонентов и предоставленные в связи с этим дни отдыха.</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Для всех случаев определения среднего заработка, предусмотренных Трудовым кодексом РФ, устанавливается единый порядок его исчисления (ст. 139 ТК РФ). Данный порядок установлен Положением об особенностях порядка исчисления средней заработной платы, утвержденным Постановлением Правительства РФ от 11.04.2003 N 213.</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 </w:t>
      </w:r>
    </w:p>
    <w:p w:rsidR="00F73764" w:rsidRPr="00F73764" w:rsidRDefault="00F73764" w:rsidP="00F73764">
      <w:pPr>
        <w:shd w:val="clear" w:color="auto" w:fill="FFFFFF"/>
        <w:spacing w:after="0" w:line="300" w:lineRule="atLeast"/>
        <w:outlineLvl w:val="4"/>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В ДЕНЬ СДАЧИ КРОВИ</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Донор обеспечивается бесплатным питанием за счет средств соответствующего бюджета.</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 </w:t>
      </w:r>
    </w:p>
    <w:p w:rsidR="00F73764" w:rsidRPr="00F73764" w:rsidRDefault="00F73764" w:rsidP="00F73764">
      <w:pPr>
        <w:shd w:val="clear" w:color="auto" w:fill="FFFFFF"/>
        <w:spacing w:after="0" w:line="300" w:lineRule="atLeast"/>
        <w:outlineLvl w:val="4"/>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ДЛЯ РЕГУЛЯРНЫХ ДОНОРОВ</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Доноры, сдавшие в течение года кровь и (или) ее компоненты в суммарном количестве, равном двум максимально допустимым дозам, имеют право на первоочередное получение по месту работы или учебы льготных путевок для санаторно-курортного лечения.</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 </w:t>
      </w:r>
    </w:p>
    <w:p w:rsidR="00F73764" w:rsidRPr="00F73764" w:rsidRDefault="00F73764" w:rsidP="00F73764">
      <w:pPr>
        <w:shd w:val="clear" w:color="auto" w:fill="FFFFFF"/>
        <w:spacing w:after="0" w:line="300" w:lineRule="atLeast"/>
        <w:outlineLvl w:val="4"/>
        <w:rPr>
          <w:rFonts w:ascii="Calibri" w:eastAsia="Times New Roman" w:hAnsi="Calibri" w:cs="Calibri"/>
          <w:b/>
          <w:bCs/>
          <w:color w:val="606060"/>
          <w:sz w:val="24"/>
          <w:szCs w:val="24"/>
          <w:lang w:eastAsia="ru-RU"/>
        </w:rPr>
      </w:pPr>
      <w:r w:rsidRPr="00F73764">
        <w:rPr>
          <w:rFonts w:ascii="Calibri" w:eastAsia="Times New Roman" w:hAnsi="Calibri" w:cs="Calibri"/>
          <w:b/>
          <w:bCs/>
          <w:color w:val="CC0000"/>
          <w:sz w:val="24"/>
          <w:szCs w:val="24"/>
          <w:lang w:eastAsia="ru-RU"/>
        </w:rPr>
        <w:t>ПОЧЕТНЫЙ ДОНОР РОССИИ</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 — это нагрудный знак, которым награждаются граждане, сдавшие бесплатно кровь 40 и более раз или плазму 60 и более раз. Также они имеют право на ежегодную денежную индексируемую выплату. Законом РФ от 9 июня 1993 года № 5142—I «О донорстве крови и ее компонентов» и органами государственной власти субъектов Российской Федерации установлены и другие меры социальной поддержки:</w:t>
      </w:r>
    </w:p>
    <w:p w:rsidR="00F73764" w:rsidRPr="00F73764" w:rsidRDefault="00F73764" w:rsidP="00F73764">
      <w:pPr>
        <w:numPr>
          <w:ilvl w:val="0"/>
          <w:numId w:val="1"/>
        </w:numPr>
        <w:shd w:val="clear" w:color="auto" w:fill="FFFFFF"/>
        <w:spacing w:before="100" w:beforeAutospacing="1" w:after="100" w:afterAutospacing="1" w:line="270" w:lineRule="atLeast"/>
        <w:ind w:left="375"/>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внеочередное лечение в государственных или муниципальных организациях здравоохранения,</w:t>
      </w:r>
    </w:p>
    <w:p w:rsidR="00F73764" w:rsidRPr="00F73764" w:rsidRDefault="00F73764" w:rsidP="00F73764">
      <w:pPr>
        <w:numPr>
          <w:ilvl w:val="0"/>
          <w:numId w:val="1"/>
        </w:numPr>
        <w:shd w:val="clear" w:color="auto" w:fill="FFFFFF"/>
        <w:spacing w:before="100" w:beforeAutospacing="1" w:after="100" w:afterAutospacing="1" w:line="270" w:lineRule="atLeast"/>
        <w:ind w:left="375"/>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первоочередное приобретение по месту работы или учебы льготных путевок для санаторно-курортного лечения,</w:t>
      </w:r>
    </w:p>
    <w:p w:rsidR="00F73764" w:rsidRPr="00F73764" w:rsidRDefault="00F73764" w:rsidP="00F73764">
      <w:pPr>
        <w:numPr>
          <w:ilvl w:val="0"/>
          <w:numId w:val="1"/>
        </w:numPr>
        <w:shd w:val="clear" w:color="auto" w:fill="FFFFFF"/>
        <w:spacing w:before="100" w:beforeAutospacing="1" w:after="100" w:afterAutospacing="1" w:line="270" w:lineRule="atLeast"/>
        <w:ind w:left="375"/>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lastRenderedPageBreak/>
        <w:t>предоставление ежегодного оплачиваемого отпуска в удобное для них время года.</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color w:val="606060"/>
          <w:sz w:val="24"/>
          <w:szCs w:val="24"/>
          <w:lang w:eastAsia="ru-RU"/>
        </w:rPr>
        <w:t>Граждане Российской Федерации, награжденные знаком </w:t>
      </w:r>
      <w:r w:rsidRPr="00F73764">
        <w:rPr>
          <w:rFonts w:ascii="Calibri" w:eastAsia="Times New Roman" w:hAnsi="Calibri" w:cs="Calibri"/>
          <w:b/>
          <w:bCs/>
          <w:color w:val="606060"/>
          <w:sz w:val="24"/>
          <w:szCs w:val="24"/>
          <w:lang w:eastAsia="ru-RU"/>
        </w:rPr>
        <w:t>«Почетный донор СССР»</w:t>
      </w:r>
      <w:r w:rsidRPr="00F73764">
        <w:rPr>
          <w:rFonts w:ascii="Calibri" w:eastAsia="Times New Roman" w:hAnsi="Calibri" w:cs="Calibri"/>
          <w:color w:val="606060"/>
          <w:sz w:val="24"/>
          <w:szCs w:val="24"/>
          <w:lang w:eastAsia="ru-RU"/>
        </w:rPr>
        <w:t>, пользуются всеми льготами </w:t>
      </w:r>
      <w:r w:rsidRPr="00F73764">
        <w:rPr>
          <w:rFonts w:ascii="Calibri" w:eastAsia="Times New Roman" w:hAnsi="Calibri" w:cs="Calibri"/>
          <w:b/>
          <w:bCs/>
          <w:color w:val="606060"/>
          <w:sz w:val="24"/>
          <w:szCs w:val="24"/>
          <w:lang w:eastAsia="ru-RU"/>
        </w:rPr>
        <w:t>почетного донора России</w:t>
      </w:r>
      <w:r w:rsidRPr="00F73764">
        <w:rPr>
          <w:rFonts w:ascii="Calibri" w:eastAsia="Times New Roman" w:hAnsi="Calibri" w:cs="Calibri"/>
          <w:color w:val="606060"/>
          <w:sz w:val="24"/>
          <w:szCs w:val="24"/>
          <w:lang w:eastAsia="ru-RU"/>
        </w:rPr>
        <w:t>.</w:t>
      </w:r>
    </w:p>
    <w:p w:rsidR="00F73764" w:rsidRPr="00F73764" w:rsidRDefault="00F73764" w:rsidP="00F73764">
      <w:pPr>
        <w:shd w:val="clear" w:color="auto" w:fill="FFFFFF"/>
        <w:spacing w:after="0" w:line="240" w:lineRule="auto"/>
        <w:rPr>
          <w:rFonts w:ascii="Calibri" w:eastAsia="Times New Roman" w:hAnsi="Calibri" w:cs="Calibri"/>
          <w:color w:val="606060"/>
          <w:sz w:val="24"/>
          <w:szCs w:val="24"/>
          <w:lang w:eastAsia="ru-RU"/>
        </w:rPr>
      </w:pPr>
      <w:r w:rsidRPr="00F73764">
        <w:rPr>
          <w:rFonts w:ascii="Calibri" w:eastAsia="Times New Roman" w:hAnsi="Calibri" w:cs="Calibri"/>
          <w:i/>
          <w:iCs/>
          <w:color w:val="606060"/>
          <w:sz w:val="24"/>
          <w:szCs w:val="24"/>
          <w:lang w:eastAsia="ru-RU"/>
        </w:rPr>
        <w:t>В Москве действует региональная система присвоения нагрудного знака «Почетный донор Москвы». Согласно постановлению, его получают те, кто 20 и более раз сдал бесплатно кровь или 30 и более раз — плазму.</w:t>
      </w:r>
    </w:p>
    <w:p w:rsidR="00BE6F29" w:rsidRDefault="00BE6F29">
      <w:bookmarkStart w:id="0" w:name="_GoBack"/>
      <w:bookmarkEnd w:id="0"/>
    </w:p>
    <w:sectPr w:rsidR="00BE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805F4"/>
    <w:multiLevelType w:val="multilevel"/>
    <w:tmpl w:val="3FB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D6"/>
    <w:rsid w:val="00B10DD6"/>
    <w:rsid w:val="00BE6F29"/>
    <w:rsid w:val="00F7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625F-E42E-4C53-9B69-CB600E5B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737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737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376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7376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73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3764"/>
    <w:rPr>
      <w:b/>
      <w:bCs/>
    </w:rPr>
  </w:style>
  <w:style w:type="character" w:styleId="a5">
    <w:name w:val="Emphasis"/>
    <w:basedOn w:val="a0"/>
    <w:uiPriority w:val="20"/>
    <w:qFormat/>
    <w:rsid w:val="00F73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8760">
      <w:bodyDiv w:val="1"/>
      <w:marLeft w:val="0"/>
      <w:marRight w:val="0"/>
      <w:marTop w:val="0"/>
      <w:marBottom w:val="0"/>
      <w:divBdr>
        <w:top w:val="none" w:sz="0" w:space="0" w:color="auto"/>
        <w:left w:val="none" w:sz="0" w:space="0" w:color="auto"/>
        <w:bottom w:val="none" w:sz="0" w:space="0" w:color="auto"/>
        <w:right w:val="none" w:sz="0" w:space="0" w:color="auto"/>
      </w:divBdr>
      <w:divsChild>
        <w:div w:id="231964297">
          <w:marLeft w:val="0"/>
          <w:marRight w:val="0"/>
          <w:marTop w:val="0"/>
          <w:marBottom w:val="0"/>
          <w:divBdr>
            <w:top w:val="none" w:sz="0" w:space="0" w:color="auto"/>
            <w:left w:val="none" w:sz="0" w:space="0" w:color="auto"/>
            <w:bottom w:val="none" w:sz="0" w:space="0" w:color="auto"/>
            <w:right w:val="none" w:sz="0" w:space="0" w:color="auto"/>
          </w:divBdr>
        </w:div>
        <w:div w:id="1957516672">
          <w:marLeft w:val="0"/>
          <w:marRight w:val="0"/>
          <w:marTop w:val="0"/>
          <w:marBottom w:val="0"/>
          <w:divBdr>
            <w:top w:val="none" w:sz="0" w:space="0" w:color="auto"/>
            <w:left w:val="none" w:sz="0" w:space="0" w:color="auto"/>
            <w:bottom w:val="none" w:sz="0" w:space="0" w:color="auto"/>
            <w:right w:val="none" w:sz="0" w:space="0" w:color="auto"/>
          </w:divBdr>
        </w:div>
        <w:div w:id="45987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Company>SPecialiST RePack</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2019-09-18T06:30:00Z</dcterms:created>
  <dcterms:modified xsi:type="dcterms:W3CDTF">2019-09-18T06:30:00Z</dcterms:modified>
</cp:coreProperties>
</file>