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jc w:val="center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ПРАВИЛА ПОДГОТОВКА К ИССЛЕДОВАНИЮ НА ИНФЕКЦИИ, ПЕРЕДАЮЩИЕСЯ ПОЛОВЫМ ПУТЕМ</w:t>
      </w:r>
    </w:p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 1.Кровь из вены (ИФА сифилис, РПГА сифилис, РИФ сифилис, РМП сифилис, ИФА хламидии, ИФА герпес и пр.) берется натощак</w:t>
      </w:r>
    </w:p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2.Перед взятием мазков и соскобов из уретры у мужчин не рекомендуется мочиться не менее 2 ч.</w:t>
      </w:r>
    </w:p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3.Перед взятием соскобов с головки, крайней плоти не рекомендуется осуществлять туалет половых органов</w:t>
      </w:r>
    </w:p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4.Перед взятием мазков из половых путей у женщин не рекомендуется осуществлять ежедневные процедуры интимной гигиены</w:t>
      </w:r>
    </w:p>
    <w:p w:rsidR="00A06E17" w:rsidRDefault="00A06E17" w:rsidP="00A06E17">
      <w:pPr>
        <w:pStyle w:val="a3"/>
        <w:shd w:val="clear" w:color="auto" w:fill="FCFCFC"/>
        <w:spacing w:before="0" w:beforeAutospacing="0" w:after="0" w:afterAutospacing="0"/>
        <w:rPr>
          <w:rFonts w:ascii="Helvetica" w:hAnsi="Helvetica" w:cs="Helvetica"/>
          <w:color w:val="5C5C5C"/>
          <w:sz w:val="23"/>
          <w:szCs w:val="23"/>
        </w:rPr>
      </w:pPr>
      <w:r>
        <w:rPr>
          <w:rFonts w:ascii="Helvetica" w:hAnsi="Helvetica" w:cs="Helvetica"/>
          <w:color w:val="5C5C5C"/>
          <w:sz w:val="23"/>
          <w:szCs w:val="23"/>
        </w:rPr>
        <w:t>5.В период менструации забор материала не осуществляется</w:t>
      </w:r>
    </w:p>
    <w:p w:rsidR="003D1F40" w:rsidRDefault="003D1F40">
      <w:bookmarkStart w:id="0" w:name="_GoBack"/>
      <w:bookmarkEnd w:id="0"/>
    </w:p>
    <w:sectPr w:rsidR="003D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13"/>
    <w:rsid w:val="003D1F40"/>
    <w:rsid w:val="00A06E17"/>
    <w:rsid w:val="00A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1124-CD27-4DCF-AD37-835912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2019-11-06T06:28:00Z</dcterms:created>
  <dcterms:modified xsi:type="dcterms:W3CDTF">2019-11-06T06:28:00Z</dcterms:modified>
</cp:coreProperties>
</file>