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ВНУТРЕННЕГО РАСПОРЯДКА</w:t>
      </w:r>
      <w:r>
        <w:rPr>
          <w:rFonts w:ascii="PtSans" w:hAnsi="PtSans"/>
          <w:b/>
          <w:bCs/>
          <w:color w:val="000000"/>
        </w:rPr>
        <w:br/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Режим работы медицинской организации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Стационар работает круглосуточно</w:t>
      </w:r>
      <w:r>
        <w:rPr>
          <w:rFonts w:ascii="PtSans" w:hAnsi="PtSans"/>
          <w:color w:val="000000"/>
        </w:rPr>
        <w:br/>
        <w:t>прием экстренных больных – круглосуточно</w:t>
      </w:r>
      <w:r>
        <w:rPr>
          <w:rFonts w:ascii="PtSans" w:hAnsi="PtSans"/>
          <w:color w:val="000000"/>
        </w:rPr>
        <w:br/>
        <w:t>Поликлиника работает ПН-ПТ: с 07:00 часов до 19:00 часов, СБ с 8:00 до 14:00, ВС – выходной.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Порядок госпитализации в стационар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Госпитализация плановых больных осуществляется по предварительной записи:</w:t>
      </w:r>
      <w:r>
        <w:rPr>
          <w:rFonts w:ascii="PtSans" w:hAnsi="PtSans"/>
          <w:color w:val="000000"/>
        </w:rPr>
        <w:br/>
        <w:t>• по направлению врача yа плановую госпитализацию выдается путевка с датой госпитализации и перечнем необходимых обследований.</w:t>
      </w:r>
      <w:r>
        <w:rPr>
          <w:rFonts w:ascii="PtSans" w:hAnsi="PtSans"/>
          <w:color w:val="000000"/>
        </w:rPr>
        <w:br/>
        <w:t>Госпитализация экстренных больных осуществляется круглосуточно: </w:t>
      </w:r>
      <w:r>
        <w:rPr>
          <w:rFonts w:ascii="PtSans" w:hAnsi="PtSans"/>
          <w:color w:val="000000"/>
        </w:rPr>
        <w:br/>
        <w:t>• при доставке бригадой скорой помощи </w:t>
      </w:r>
      <w:r>
        <w:rPr>
          <w:rFonts w:ascii="PtSans" w:hAnsi="PtSans"/>
          <w:color w:val="000000"/>
        </w:rPr>
        <w:br/>
        <w:t>• при направлении врачом БУ «Городской клинический центр» Минздрава Чувашии</w:t>
      </w:r>
      <w:r>
        <w:rPr>
          <w:rFonts w:ascii="PtSans" w:hAnsi="PtSans"/>
          <w:color w:val="000000"/>
        </w:rPr>
        <w:br/>
        <w:t>• при самообращении.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При плановой госпитализации пациентам необходимо иметь: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I. Документы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FF0000"/>
          <w:shd w:val="clear" w:color="auto" w:fill="FFFFFF"/>
        </w:rPr>
        <w:t>1. Направление установленного образца.</w:t>
      </w:r>
      <w:r>
        <w:rPr>
          <w:rFonts w:ascii="PtSans" w:hAnsi="PtSans"/>
          <w:color w:val="000000"/>
        </w:rPr>
        <w:br/>
      </w:r>
      <w:r>
        <w:rPr>
          <w:rStyle w:val="a5"/>
          <w:rFonts w:ascii="PtSans" w:hAnsi="PtSans"/>
          <w:color w:val="FF0000"/>
          <w:shd w:val="clear" w:color="auto" w:fill="FFFFFF"/>
        </w:rPr>
        <w:t>2. Страховой полис.</w:t>
      </w:r>
      <w:r>
        <w:rPr>
          <w:rFonts w:ascii="PtSans" w:hAnsi="PtSans"/>
          <w:color w:val="000000"/>
        </w:rPr>
        <w:br/>
      </w:r>
      <w:r>
        <w:rPr>
          <w:rStyle w:val="a5"/>
          <w:rFonts w:ascii="PtSans" w:hAnsi="PtSans"/>
          <w:color w:val="FF0000"/>
          <w:shd w:val="clear" w:color="auto" w:fill="FFFFFF"/>
        </w:rPr>
        <w:t>3. Страховое свидетельство государственного пенсионного страхования (СНИЛС, зеленая пластиковая карта) и его ксерокопия.</w:t>
      </w:r>
      <w:r>
        <w:rPr>
          <w:rFonts w:ascii="PtSans" w:hAnsi="PtSans"/>
          <w:color w:val="000000"/>
        </w:rPr>
        <w:br/>
      </w:r>
      <w:r>
        <w:rPr>
          <w:rStyle w:val="a5"/>
          <w:rFonts w:ascii="PtSans" w:hAnsi="PtSans"/>
          <w:color w:val="FF0000"/>
          <w:shd w:val="clear" w:color="auto" w:fill="FFFFFF"/>
        </w:rPr>
        <w:t>4. Амбулаторная карта больного.</w:t>
      </w:r>
      <w:r>
        <w:rPr>
          <w:rFonts w:ascii="PtSans" w:hAnsi="PtSans"/>
          <w:color w:val="000000"/>
        </w:rPr>
        <w:br/>
      </w:r>
      <w:r>
        <w:rPr>
          <w:rStyle w:val="a5"/>
          <w:rFonts w:ascii="PtSans" w:hAnsi="PtSans"/>
          <w:color w:val="FF0000"/>
          <w:shd w:val="clear" w:color="auto" w:fill="FFFFFF"/>
        </w:rPr>
        <w:t>5. Выписка из медицинской карты амбулаторного больного.</w:t>
      </w:r>
      <w:r>
        <w:rPr>
          <w:rFonts w:ascii="PtSans" w:hAnsi="PtSans"/>
          <w:color w:val="000000"/>
        </w:rPr>
        <w:br/>
      </w:r>
      <w:r>
        <w:rPr>
          <w:rStyle w:val="a5"/>
          <w:rFonts w:ascii="PtSans" w:hAnsi="PtSans"/>
          <w:color w:val="FF0000"/>
          <w:shd w:val="clear" w:color="auto" w:fill="FFFFFF"/>
        </w:rPr>
        <w:t>6. Паспорт (или другой документ, удостоверяющий личность) одного из родителей, или законного представителя, имеющего соответствующий документ, дающий право представлять интересы ребенка.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II. Анализы и результаты исследований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FF0000"/>
        </w:rPr>
        <w:t>1. Общий анализ крови (действителен 10 дней).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2. Общий анализ мочи (действителен 10 дней).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3. Кал на яйца глист (действителен 10 дней).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4. Анализ крови на RW экспресс методом (действителен 10 дней), в хирургическое отделение – анализ  крови на RW из вены (действителен 3 мес.).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5. Анализ крови на HbSAg, HCV, ВИЧ-инфекцию.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6. Флюорография.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FF0000"/>
        </w:rPr>
        <w:t>В соответствии с приказом Министерства здравоохранения Чувашской Республики от 07.09.2005 г. № 405 «Об утверждении перечня контингентов, подлежащих обследованию на инфекции, передаваемые половым путем, в лечебно-профилактических учреждениях Чувашской Республики и п.9 Постановления Главного государственного санитарного врача РФ от 18 мая 2010г. №58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III. Рекомендуемые средства личной гигиены</w:t>
      </w:r>
      <w:r>
        <w:rPr>
          <w:rFonts w:ascii="PtSans" w:hAnsi="PtSans"/>
          <w:b/>
          <w:bCs/>
          <w:color w:val="000000"/>
        </w:rPr>
        <w:br/>
      </w:r>
      <w:r>
        <w:rPr>
          <w:rFonts w:ascii="PtSans" w:hAnsi="PtSans"/>
          <w:color w:val="000000"/>
        </w:rPr>
        <w:t>- зубную щетку, пасту</w:t>
      </w:r>
      <w:r>
        <w:rPr>
          <w:rFonts w:ascii="PtSans" w:hAnsi="PtSans"/>
          <w:color w:val="000000"/>
        </w:rPr>
        <w:br/>
        <w:t>- мыло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</w:rPr>
        <w:lastRenderedPageBreak/>
        <w:t>- полотенце</w:t>
      </w:r>
      <w:r>
        <w:rPr>
          <w:rFonts w:ascii="PtSans" w:hAnsi="PtSans"/>
          <w:color w:val="000000"/>
        </w:rPr>
        <w:br/>
        <w:t>- туалетную бумагу</w:t>
      </w:r>
      <w:r>
        <w:rPr>
          <w:rFonts w:ascii="PtSans" w:hAnsi="PtSans"/>
          <w:color w:val="000000"/>
        </w:rPr>
        <w:br/>
        <w:t>- расческу </w:t>
      </w:r>
      <w:r>
        <w:rPr>
          <w:rFonts w:ascii="PtSans" w:hAnsi="PtSans"/>
          <w:color w:val="000000"/>
        </w:rPr>
        <w:br/>
        <w:t>- носовые платки </w:t>
      </w:r>
      <w:r>
        <w:rPr>
          <w:rFonts w:ascii="PtSans" w:hAnsi="PtSans"/>
          <w:color w:val="000000"/>
        </w:rPr>
        <w:br/>
        <w:t>- кружку, ложку </w:t>
      </w:r>
      <w:r>
        <w:rPr>
          <w:rFonts w:ascii="PtSans" w:hAnsi="PtSans"/>
          <w:color w:val="000000"/>
        </w:rPr>
        <w:br/>
        <w:t>- тапочки</w:t>
      </w:r>
      <w:r>
        <w:rPr>
          <w:rFonts w:ascii="PtSans" w:hAnsi="PtSans"/>
          <w:color w:val="000000"/>
        </w:rPr>
        <w:br/>
        <w:t>- нижнее белье 2-3 комплекта </w:t>
      </w:r>
      <w:r>
        <w:rPr>
          <w:rFonts w:ascii="PtSans" w:hAnsi="PtSans"/>
          <w:color w:val="000000"/>
        </w:rPr>
        <w:br/>
        <w:t>- носки 2-3 пары</w:t>
      </w:r>
      <w:r>
        <w:rPr>
          <w:rFonts w:ascii="PtSans" w:hAnsi="PtSans"/>
          <w:color w:val="000000"/>
        </w:rPr>
        <w:br/>
        <w:t>- спортивный костюм</w:t>
      </w:r>
      <w:r>
        <w:rPr>
          <w:rFonts w:ascii="PtSans" w:hAnsi="PtSans"/>
          <w:color w:val="000000"/>
        </w:rPr>
        <w:br/>
        <w:t>Согласно п.13 Постановления Главного государственного санитарного врача РФ от 18 мая 2010г. №58 «Об утверждении СанПин 2.1.3.2630-10 «Санитарно-эпидемиологические требования к организациям, осуществляющим медицинскую деятельность»: разрешается использовать собственные предметы личной гигиены и допускается нахождение больных в стационарах в домашней одежде.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Распорядок дня в стационаре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Пробуждение в 6 час. 00 мин.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Туалет, сдача анализов с 6 час. до 8 час. 00 мин.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Завтрак - с 8.00 час. до 9 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Лечебно-диагностические процедуры с 9-00 до 13-00час.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Обед - с 13-00 до 14-00 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Время отдыха в постели -с 14 час. до 16 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Полдник - в 16.15 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Ужин - с 18.30 час. до 19 час.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Сон - с 22 час. (пациенты должны быть в постелях, хождение и разговоры в палатах прекращаются)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Во время пребывания в стационаре пациентам запрещается: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самовольно покидать стационар без согласования с заведующим отделением;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курить вне специально отведенных мест для курения, употреблять спиртные напитки;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находиться в палатах в верхней одежде и уличной обуви;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хранить в палатах верхнюю одежду и уличную обувь;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хранить продукты в тумбочках;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пользоваться бельем и подушками свободных коек;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бросать марлю, вату, иные предметы в раковины и унитазы;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Права пациента: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Пациент имеет право на:</w:t>
      </w:r>
      <w:r>
        <w:rPr>
          <w:rFonts w:ascii="PtSans" w:hAnsi="PtSans"/>
          <w:color w:val="000000"/>
        </w:rPr>
        <w:br/>
        <w:t>1) уважительное и гуманное отношение со стороны работников и других лиц, участвующих в оказании медицинской помощи;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</w:rPr>
        <w:lastRenderedPageBreak/>
        <w:t>2) 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  <w:r>
        <w:rPr>
          <w:rFonts w:ascii="PtSans" w:hAnsi="PtSans"/>
          <w:color w:val="000000"/>
        </w:rPr>
        <w:br/>
        <w:t>3) обследование, лечение и нахождение в больнице в условиях, соответствующих санитарно-гигиеническим и противоэпидемическим требованиям;</w:t>
      </w:r>
      <w:r>
        <w:rPr>
          <w:rFonts w:ascii="PtSans" w:hAnsi="PtSans"/>
          <w:color w:val="000000"/>
        </w:rPr>
        <w:br/>
        <w:t>4) 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PtSans" w:hAnsi="PtSans"/>
          <w:color w:val="000000"/>
        </w:rPr>
        <w:br/>
        <w:t>5) перевод к другому лечащему врачу с учетом согласия заведующего отделением и соответствующего врача;</w:t>
      </w:r>
      <w:r>
        <w:rPr>
          <w:rFonts w:ascii="PtSans" w:hAnsi="PtSans"/>
          <w:color w:val="000000"/>
        </w:rPr>
        <w:br/>
        <w:t>6) 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PtSans" w:hAnsi="PtSans"/>
          <w:color w:val="000000"/>
        </w:rPr>
        <w:br/>
        <w:t>7) отказ от медицинского вмешательства;</w:t>
      </w:r>
      <w:r>
        <w:rPr>
          <w:rFonts w:ascii="PtSans" w:hAnsi="PtSans"/>
          <w:color w:val="000000"/>
        </w:rPr>
        <w:br/>
        <w:t>8) обращение с жалобой к должностным лицам больницы, а также к должностным лицам вышестоящей организации или в суд;</w:t>
      </w:r>
      <w:r>
        <w:rPr>
          <w:rFonts w:ascii="PtSans" w:hAnsi="PtSans"/>
          <w:color w:val="000000"/>
        </w:rPr>
        <w:br/>
        <w:t>9) защиту сведений, составляющих врачебную тайну;</w:t>
      </w:r>
      <w:r>
        <w:rPr>
          <w:rFonts w:ascii="PtSans" w:hAnsi="PtSans"/>
          <w:color w:val="000000"/>
        </w:rPr>
        <w:br/>
        <w:t>10)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PtSans" w:hAnsi="PtSans"/>
          <w:color w:val="000000"/>
        </w:rPr>
        <w:br/>
        <w:t>11) 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>
        <w:rPr>
          <w:rFonts w:ascii="PtSans" w:hAnsi="PtSans"/>
          <w:color w:val="000000"/>
        </w:rPr>
        <w:br/>
        <w:t>12) 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власти;</w:t>
      </w:r>
      <w:r>
        <w:rPr>
          <w:rFonts w:ascii="PtSans" w:hAnsi="PtSans"/>
          <w:color w:val="000000"/>
        </w:rPr>
        <w:br/>
        <w:t>13) возмещение вреда, причиненного здоровью при оказании ему медицинской помощи;</w:t>
      </w:r>
      <w:r>
        <w:rPr>
          <w:rFonts w:ascii="PtSans" w:hAnsi="PtSans"/>
          <w:color w:val="000000"/>
        </w:rPr>
        <w:br/>
        <w:t>14) 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>
        <w:rPr>
          <w:rFonts w:ascii="PtSans" w:hAnsi="PtSans"/>
          <w:color w:val="000000"/>
        </w:rPr>
        <w:br/>
        <w:t>Согласно ст. 19, 20, 22, 70 Федерального закона от 21.11.2011 г. N 323-ФЗ «Об основах охраны здоровья граждан в Российской Федерации».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Обязанности пациента: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1) 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  <w:r>
        <w:rPr>
          <w:rFonts w:ascii="PtSans" w:hAnsi="PtSans"/>
          <w:color w:val="000000"/>
        </w:rPr>
        <w:br/>
        <w:t>2)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принимать меры к сохранению и укреплению своего здоровья;</w:t>
      </w:r>
      <w:r>
        <w:rPr>
          <w:rFonts w:ascii="PtSans" w:hAnsi="PtSans"/>
          <w:color w:val="000000"/>
        </w:rPr>
        <w:br/>
        <w:t>3) уважительно относиться к медицинским работникам и другим лицам, участвующим в оказании медицинской помощи;</w:t>
      </w:r>
      <w:r>
        <w:rPr>
          <w:rFonts w:ascii="PtSans" w:hAnsi="PtSans"/>
          <w:color w:val="000000"/>
        </w:rPr>
        <w:br/>
        <w:t>4) предоставлять лицу, оказывающему медицинскую помощь, известную ему достоверную информацию о состоянии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  <w:r>
        <w:rPr>
          <w:rFonts w:ascii="PtSans" w:hAnsi="PtSans"/>
          <w:color w:val="000000"/>
        </w:rPr>
        <w:br/>
        <w:t>5) своевременно и точно выполнять медицинские предписания;</w:t>
      </w:r>
      <w:r>
        <w:rPr>
          <w:rFonts w:ascii="PtSans" w:hAnsi="PtSans"/>
          <w:color w:val="000000"/>
        </w:rPr>
        <w:br/>
        <w:t>6) сотрудничать с врачом на всех этапах оказания медицинской помощи;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</w:rPr>
        <w:lastRenderedPageBreak/>
        <w:t>7) бережно относиться к имуществу больницы.</w:t>
      </w:r>
      <w:r>
        <w:rPr>
          <w:rFonts w:ascii="PtSans" w:hAnsi="PtSans"/>
          <w:color w:val="000000"/>
        </w:rPr>
        <w:br/>
        <w:t>Согласно ст. 27, Федерального закона от 21.11.2011 г. N 323-ФЗ «Об основах охраны здоровья граждан в Российской Федерации»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Сроки оказания специализированной помощи (за исключением высокотехнологичной медицинской помощи) в стационарных условиях в плановой форме -</w:t>
      </w:r>
    </w:p>
    <w:p w:rsidR="00275969" w:rsidRDefault="00275969" w:rsidP="0027596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не более 30 дней с момента выдачи направления на госпитализацию. </w:t>
      </w:r>
    </w:p>
    <w:p w:rsidR="00863BA0" w:rsidRDefault="00863BA0">
      <w:bookmarkStart w:id="0" w:name="_GoBack"/>
      <w:bookmarkEnd w:id="0"/>
    </w:p>
    <w:sectPr w:rsidR="0086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58"/>
    <w:rsid w:val="001D4458"/>
    <w:rsid w:val="00275969"/>
    <w:rsid w:val="008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1340-08A9-485E-A95D-C61B9A7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969"/>
    <w:rPr>
      <w:b/>
      <w:bCs/>
    </w:rPr>
  </w:style>
  <w:style w:type="character" w:styleId="a5">
    <w:name w:val="Emphasis"/>
    <w:basedOn w:val="a0"/>
    <w:uiPriority w:val="20"/>
    <w:qFormat/>
    <w:rsid w:val="0027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2019-08-19T06:40:00Z</dcterms:created>
  <dcterms:modified xsi:type="dcterms:W3CDTF">2019-08-19T06:40:00Z</dcterms:modified>
</cp:coreProperties>
</file>