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F5" w:rsidRPr="003F3DF5" w:rsidRDefault="003F3DF5" w:rsidP="003F3DF5">
      <w:pPr>
        <w:shd w:val="clear" w:color="auto" w:fill="FFFFFF"/>
        <w:spacing w:after="27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3F3DF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Лабораторная диагностика</w:t>
      </w:r>
    </w:p>
    <w:p w:rsidR="003F3DF5" w:rsidRPr="003F3DF5" w:rsidRDefault="003F3DF5" w:rsidP="003F3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F3DF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Диагностическая база Учреждения представлена тремя лабораториями: </w:t>
      </w:r>
      <w:hyperlink r:id="rId4" w:tgtFrame="_blank" w:history="1">
        <w:r w:rsidRPr="003F3DF5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ru-RU"/>
          </w:rPr>
          <w:t>иммуно-ферментного анализа с ПЦР диагностикой</w:t>
        </w:r>
      </w:hyperlink>
      <w:r w:rsidRPr="003F3DF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 </w:t>
      </w:r>
      <w:hyperlink r:id="rId5" w:tgtFrame="_blank" w:history="1">
        <w:r w:rsidRPr="003F3DF5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ru-RU"/>
          </w:rPr>
          <w:t>бактериологической</w:t>
        </w:r>
      </w:hyperlink>
      <w:r w:rsidRPr="003F3DF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и </w:t>
      </w:r>
      <w:hyperlink r:id="rId6" w:tgtFrame="_blank" w:history="1">
        <w:r w:rsidRPr="003F3DF5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ru-RU"/>
          </w:rPr>
          <w:t>клинико-биохимическая</w:t>
        </w:r>
      </w:hyperlink>
      <w:r w:rsidRPr="003F3DF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Все лаборатории ежегодно участвуют в федеральной системе внешней оценки качества клинических лабораторных исследований. Специалисты всех трех лабораторий имеют медицинское образование и соответствующую специализированную подготовку. </w:t>
      </w:r>
    </w:p>
    <w:p w:rsidR="00936F7B" w:rsidRDefault="00936F7B">
      <w:bookmarkStart w:id="0" w:name="_GoBack"/>
      <w:bookmarkEnd w:id="0"/>
    </w:p>
    <w:sectPr w:rsidR="0093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3E"/>
    <w:rsid w:val="003F3DF5"/>
    <w:rsid w:val="0052733E"/>
    <w:rsid w:val="009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1E4A-A6B3-4335-8593-4919A5D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b2.r52.ru/1/2/10/14/" TargetMode="External"/><Relationship Id="rId5" Type="http://schemas.openxmlformats.org/officeDocument/2006/relationships/hyperlink" Target="http://kib2.r52.ru/1/2/10/12/" TargetMode="External"/><Relationship Id="rId4" Type="http://schemas.openxmlformats.org/officeDocument/2006/relationships/hyperlink" Target="http://kib2.r52.ru/1/2/10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2019-11-14T06:58:00Z</dcterms:created>
  <dcterms:modified xsi:type="dcterms:W3CDTF">2019-11-14T06:58:00Z</dcterms:modified>
</cp:coreProperties>
</file>