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26" w:rsidRPr="00616D26" w:rsidRDefault="00616D26" w:rsidP="00616D26">
      <w:pPr>
        <w:pBdr>
          <w:bottom w:val="single" w:sz="12" w:space="0" w:color="298C7E"/>
        </w:pBdr>
        <w:shd w:val="clear" w:color="auto" w:fill="FFFFFF"/>
        <w:spacing w:after="450" w:line="439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 w:rsidRPr="00616D26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Объем стоматологической помощи по ОМС</w:t>
      </w:r>
    </w:p>
    <w:p w:rsidR="00616D26" w:rsidRPr="00616D26" w:rsidRDefault="00616D26" w:rsidP="00616D26">
      <w:pPr>
        <w:shd w:val="clear" w:color="auto" w:fill="FFFFFF"/>
        <w:spacing w:after="150" w:line="256" w:lineRule="atLeast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b/>
          <w:bCs/>
          <w:color w:val="4D4D4D"/>
          <w:sz w:val="21"/>
          <w:szCs w:val="21"/>
          <w:lang w:eastAsia="ru-RU"/>
        </w:rPr>
        <w:t>Объем стоматологической помощи</w:t>
      </w: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, который оказывается бесплатно по полису ОМС.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осмотр и консультация;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консультация на дому для нетранспортабельных больных;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лечение кариеса зубов, пульпита, периодонтита, заболеваний пародонта, слизистой оболочки полости рта;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при травматических повреждениях, извлечение инородного тела из канала зуба;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хирургическое лечение: удаление зубов и костных образований;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лечение заболеваний слюнных желез, операции на мягких тканях полости рта;</w:t>
      </w:r>
    </w:p>
    <w:p w:rsidR="00616D26" w:rsidRPr="00616D26" w:rsidRDefault="00616D26" w:rsidP="00616D26">
      <w:pPr>
        <w:numPr>
          <w:ilvl w:val="0"/>
          <w:numId w:val="1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вправление вывиха височно-нижнечелюстного сустава;</w:t>
      </w:r>
    </w:p>
    <w:p w:rsidR="00616D26" w:rsidRPr="00616D26" w:rsidRDefault="00616D26" w:rsidP="00616D26">
      <w:pPr>
        <w:shd w:val="clear" w:color="auto" w:fill="FFFFFF"/>
        <w:spacing w:after="150" w:line="256" w:lineRule="atLeast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Для детей дополнительно, кроме вышеперечисленного предоставляется:</w:t>
      </w:r>
    </w:p>
    <w:p w:rsidR="00616D26" w:rsidRPr="00616D26" w:rsidRDefault="00616D26" w:rsidP="00616D26">
      <w:pPr>
        <w:numPr>
          <w:ilvl w:val="0"/>
          <w:numId w:val="2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лечение некариозных поражений твердых тканей зуба;</w:t>
      </w:r>
    </w:p>
    <w:p w:rsidR="00616D26" w:rsidRPr="00616D26" w:rsidRDefault="00616D26" w:rsidP="00616D26">
      <w:pPr>
        <w:numPr>
          <w:ilvl w:val="0"/>
          <w:numId w:val="2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реминерализирующее лечение зубов и серебрение кариозных полостей;</w:t>
      </w:r>
    </w:p>
    <w:p w:rsidR="00616D26" w:rsidRPr="00616D26" w:rsidRDefault="00616D26" w:rsidP="00616D26">
      <w:pPr>
        <w:numPr>
          <w:ilvl w:val="0"/>
          <w:numId w:val="2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составление плана профилактики заболевания зубов и полости рта;</w:t>
      </w:r>
    </w:p>
    <w:p w:rsidR="00616D26" w:rsidRPr="00616D26" w:rsidRDefault="00616D26" w:rsidP="00616D26">
      <w:pPr>
        <w:numPr>
          <w:ilvl w:val="0"/>
          <w:numId w:val="2"/>
        </w:numPr>
        <w:shd w:val="clear" w:color="auto" w:fill="FFFFFF"/>
        <w:spacing w:after="75" w:line="256" w:lineRule="atLeast"/>
        <w:ind w:left="0" w:right="75"/>
        <w:jc w:val="both"/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</w:pPr>
      <w:r w:rsidRPr="00616D26">
        <w:rPr>
          <w:rFonts w:ascii="SegoeUIRegular" w:eastAsia="Times New Roman" w:hAnsi="SegoeUIRegular" w:cs="Arial"/>
          <w:color w:val="4D4D4D"/>
          <w:sz w:val="21"/>
          <w:szCs w:val="21"/>
          <w:lang w:eastAsia="ru-RU"/>
        </w:rPr>
        <w:t>с использованием дуги Энгля, аппарата Кламмта, Брюкля, Андрезена, Твин-блок, пластинки расширяющей и вестибулярной, пластинки с упором для языка,пластинка с наклонной плоскостью и окклюзионными накладками.</w:t>
      </w:r>
    </w:p>
    <w:p w:rsidR="007A582F" w:rsidRDefault="007A582F">
      <w:bookmarkStart w:id="0" w:name="_GoBack"/>
      <w:bookmarkEnd w:id="0"/>
    </w:p>
    <w:sectPr w:rsidR="007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46F"/>
    <w:multiLevelType w:val="multilevel"/>
    <w:tmpl w:val="215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B2CF8"/>
    <w:multiLevelType w:val="multilevel"/>
    <w:tmpl w:val="D50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0"/>
    <w:rsid w:val="002E3910"/>
    <w:rsid w:val="00616D26"/>
    <w:rsid w:val="007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ED41-3F0B-4361-A864-6732E56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2019-10-31T15:26:00Z</dcterms:created>
  <dcterms:modified xsi:type="dcterms:W3CDTF">2019-10-31T15:26:00Z</dcterms:modified>
</cp:coreProperties>
</file>