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C" w:rsidRPr="005B2B0C" w:rsidRDefault="005B2B0C" w:rsidP="005B2B0C">
      <w:pPr>
        <w:shd w:val="clear" w:color="auto" w:fill="FFFFFF"/>
        <w:spacing w:before="150" w:after="0" w:line="450" w:lineRule="atLeast"/>
        <w:textAlignment w:val="baseline"/>
        <w:outlineLvl w:val="0"/>
        <w:rPr>
          <w:rFonts w:ascii="Comfortaa" w:eastAsia="Times New Roman" w:hAnsi="Comfortaa" w:cs="Times New Roman"/>
          <w:b/>
          <w:bCs/>
          <w:color w:val="003366"/>
          <w:kern w:val="36"/>
          <w:sz w:val="27"/>
          <w:szCs w:val="27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003366"/>
          <w:kern w:val="36"/>
          <w:sz w:val="27"/>
          <w:szCs w:val="27"/>
          <w:lang w:eastAsia="ru-RU"/>
        </w:rPr>
        <w:t>Предварительные и периодические медицинские осмотры (пр. 302н) в г. Королёве / Медсанчасть №170</w:t>
      </w:r>
    </w:p>
    <w:p w:rsidR="005B2B0C" w:rsidRPr="005B2B0C" w:rsidRDefault="005B2B0C" w:rsidP="005B2B0C">
      <w:pPr>
        <w:shd w:val="clear" w:color="auto" w:fill="FFFFFF"/>
        <w:spacing w:after="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Предварительные (при трудоустройстве на работу) и периодические (ежегодные) медицинские осмотры проводятся в медсанчасти №170 в соответствии с </w:t>
      </w:r>
      <w:hyperlink r:id="rId4" w:history="1">
        <w:r w:rsidRPr="005B2B0C">
          <w:rPr>
            <w:rFonts w:ascii="Comfortaa" w:eastAsia="Times New Roman" w:hAnsi="Comfortaa" w:cs="Times New Roman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Приказом Министерства здравоохранения и социального развития РФ от 12 апреля 2011 г. N 302н</w:t>
        </w:r>
      </w:hyperlink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5B2B0C" w:rsidRPr="005B2B0C" w:rsidRDefault="005B2B0C" w:rsidP="005B2B0C">
      <w:pPr>
        <w:shd w:val="clear" w:color="auto" w:fill="FFFFFF"/>
        <w:spacing w:after="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Перечень обследований формируется сотрудниками отдела кадров </w:t>
      </w: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по месту трудоустройства. </w:t>
      </w: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Заполненное </w:t>
      </w:r>
      <w:hyperlink r:id="rId5" w:history="1">
        <w:r w:rsidRPr="005B2B0C">
          <w:rPr>
            <w:rFonts w:ascii="Comfortaa" w:eastAsia="Times New Roman" w:hAnsi="Comfortaa" w:cs="Times New Roman"/>
            <w:b/>
            <w:b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"Направление на предварительный (периодический) медицинский осмотр (обследование)</w:t>
        </w:r>
      </w:hyperlink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"</w:t>
      </w: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, предъявляется врачу-терапевту МСЧ№170.</w:t>
      </w:r>
    </w:p>
    <w:p w:rsidR="005B2B0C" w:rsidRPr="005B2B0C" w:rsidRDefault="005B2B0C" w:rsidP="005B2B0C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 xml:space="preserve">Для прохождения </w:t>
      </w:r>
      <w:proofErr w:type="spellStart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профосмотра</w:t>
      </w:r>
      <w:proofErr w:type="spellEnd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 физическим лицам на платной основе просьба обращаться к врачу-терапевту платного отделения (ЛДО). Более подробную информацию предоставят сотрудники регистратуры ЛДО.</w:t>
      </w:r>
    </w:p>
    <w:p w:rsidR="005B2B0C" w:rsidRPr="005B2B0C" w:rsidRDefault="005B2B0C" w:rsidP="005B2B0C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Контакты: +7(495) 516-52-77; 516-54-88</w:t>
      </w:r>
    </w:p>
    <w:p w:rsidR="005B2B0C" w:rsidRPr="005B2B0C" w:rsidRDefault="005B2B0C" w:rsidP="005B2B0C">
      <w:pPr>
        <w:shd w:val="clear" w:color="auto" w:fill="FFFFFF"/>
        <w:spacing w:after="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Эл. почта: </w:t>
      </w:r>
      <w:hyperlink r:id="rId6" w:history="1">
        <w:r w:rsidRPr="005B2B0C">
          <w:rPr>
            <w:rFonts w:ascii="Comfortaa" w:eastAsia="Times New Roman" w:hAnsi="Comfortaa" w:cs="Times New Roman"/>
            <w:b/>
            <w:b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ldo@msd170.ru</w:t>
        </w:r>
      </w:hyperlink>
    </w:p>
    <w:p w:rsidR="005B2B0C" w:rsidRPr="005B2B0C" w:rsidRDefault="005B2B0C" w:rsidP="005B2B0C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 xml:space="preserve">Для организации </w:t>
      </w:r>
      <w:proofErr w:type="spellStart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профосмотра</w:t>
      </w:r>
      <w:proofErr w:type="spellEnd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 xml:space="preserve"> юридическим лицам, просьба обращаться в экономический отдел МСЧ№170 </w:t>
      </w:r>
      <w:proofErr w:type="spellStart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каб</w:t>
      </w:r>
      <w:proofErr w:type="spellEnd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 xml:space="preserve">. №535 (5 </w:t>
      </w:r>
      <w:proofErr w:type="gramStart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этаж)или</w:t>
      </w:r>
      <w:proofErr w:type="gramEnd"/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 xml:space="preserve"> по телефону +7(495) 513-82-43.</w:t>
      </w:r>
    </w:p>
    <w:p w:rsidR="005B2B0C" w:rsidRPr="005B2B0C" w:rsidRDefault="005B2B0C" w:rsidP="005B2B0C">
      <w:pPr>
        <w:shd w:val="clear" w:color="auto" w:fill="FFFFFF"/>
        <w:spacing w:after="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Для справки:</w:t>
      </w:r>
    </w:p>
    <w:p w:rsidR="005B2B0C" w:rsidRPr="005B2B0C" w:rsidRDefault="005B2B0C" w:rsidP="005B2B0C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b/>
          <w:bCs/>
          <w:color w:val="666666"/>
          <w:sz w:val="21"/>
          <w:szCs w:val="21"/>
          <w:lang w:eastAsia="ru-RU"/>
        </w:rPr>
        <w:t>График приема анализов в МСЧ№170</w:t>
      </w:r>
    </w:p>
    <w:p w:rsidR="005B2B0C" w:rsidRPr="005B2B0C" w:rsidRDefault="005B2B0C" w:rsidP="005B2B0C">
      <w:pPr>
        <w:shd w:val="clear" w:color="auto" w:fill="FFFFFF"/>
        <w:spacing w:after="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Понедельник-пятница с 08:00 до 10:00ч. (</w:t>
      </w:r>
      <w:hyperlink r:id="rId7" w:history="1">
        <w:r w:rsidRPr="005B2B0C">
          <w:rPr>
            <w:rFonts w:ascii="Comfortaa" w:eastAsia="Times New Roman" w:hAnsi="Comfortaa" w:cs="Times New Roman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необходимо подготовиться</w:t>
        </w:r>
      </w:hyperlink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).</w:t>
      </w:r>
    </w:p>
    <w:p w:rsidR="005B2B0C" w:rsidRPr="005B2B0C" w:rsidRDefault="005B2B0C" w:rsidP="005B2B0C">
      <w:pPr>
        <w:shd w:val="clear" w:color="auto" w:fill="FFFFFF"/>
        <w:spacing w:before="120" w:after="150" w:line="300" w:lineRule="atLeast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  <w:t>Направительный бланк на ПМО</w:t>
      </w:r>
    </w:p>
    <w:p w:rsidR="005B2B0C" w:rsidRPr="005B2B0C" w:rsidRDefault="005B2B0C" w:rsidP="005B2B0C">
      <w:pPr>
        <w:shd w:val="clear" w:color="auto" w:fill="FFFFFF"/>
        <w:spacing w:after="0" w:line="240" w:lineRule="auto"/>
        <w:textAlignment w:val="baseline"/>
        <w:rPr>
          <w:rFonts w:ascii="Comfortaa" w:eastAsia="Times New Roman" w:hAnsi="Comfortaa" w:cs="Times New Roman"/>
          <w:color w:val="666666"/>
          <w:sz w:val="21"/>
          <w:szCs w:val="21"/>
          <w:lang w:eastAsia="ru-RU"/>
        </w:rPr>
      </w:pPr>
      <w:r w:rsidRPr="005B2B0C">
        <w:rPr>
          <w:rFonts w:ascii="Comfortaa" w:eastAsia="Times New Roman" w:hAnsi="Comfortaa" w:cs="Times New Roman"/>
          <w:noProof/>
          <w:color w:val="00339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43000" cy="1638300"/>
            <wp:effectExtent l="0" t="0" r="0" b="0"/>
            <wp:docPr id="1" name="Рисунок 1" descr="http://msd170.ru/assets/images/Blanks-spravki/s_Napravlenie-na-PMO-(pr.-302n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d170.ru/assets/images/Blanks-spravki/s_Napravlenie-na-PMO-(pr.-302n)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F4" w:rsidRDefault="00F153F4">
      <w:bookmarkStart w:id="0" w:name="_GoBack"/>
      <w:bookmarkEnd w:id="0"/>
    </w:p>
    <w:sectPr w:rsidR="00F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C"/>
    <w:rsid w:val="00172F8C"/>
    <w:rsid w:val="005B2B0C"/>
    <w:rsid w:val="00F1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29A8-C7C4-4981-98B9-8DD87C2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B0C"/>
    <w:rPr>
      <w:color w:val="0000FF"/>
      <w:u w:val="single"/>
    </w:rPr>
  </w:style>
  <w:style w:type="character" w:styleId="a5">
    <w:name w:val="Strong"/>
    <w:basedOn w:val="a0"/>
    <w:uiPriority w:val="22"/>
    <w:qFormat/>
    <w:rsid w:val="005B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170.ru/assets/images/Blanks-spravki/Napravlenie-na-PMO-(pr.-302n)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d170.ru/customers/pravila-podgotovki-k-diagnosticheskim-issledovaniy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@msd170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d170.ru/assets/files/Blanks/NAPRAVLENIE--na-PO-(OT-12.04.2011-N-302N)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sd170.ru/assets/files/Blanks-prikaz/302n-Profosmotri-Prikaz-MZSR(1).pd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2019-09-16T09:29:00Z</dcterms:created>
  <dcterms:modified xsi:type="dcterms:W3CDTF">2019-09-16T09:29:00Z</dcterms:modified>
</cp:coreProperties>
</file>