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 xml:space="preserve">Медицинская помощь оказывается населению при представлении документа, удостоверяющего личность, и полиса обязательного медицинского страхования. Отсутствие страхового полиса и документа, удостоверяющего личность, не является причиной для отказа в медицинской помощи в экстренных случаях, угрожающих жизни больного. Гражданам Российской Федерации, застрахованным за пределами Республики Дагестан, медицинская помощь на территории республики оказывается в объемах, предусмотренных Программой государственных гарантий бесплатного оказания гражданам медицинской помощи на 2016 год, утвержденной постановлением Правительства Российской </w:t>
      </w:r>
      <w:proofErr w:type="gramStart"/>
      <w:r>
        <w:rPr>
          <w:rFonts w:ascii="Helvetica" w:hAnsi="Helvetica" w:cs="Helvetica"/>
          <w:color w:val="5F5861"/>
          <w:sz w:val="21"/>
          <w:szCs w:val="21"/>
        </w:rPr>
        <w:t>Федерации  от</w:t>
      </w:r>
      <w:proofErr w:type="gramEnd"/>
      <w:r>
        <w:rPr>
          <w:rFonts w:ascii="Helvetica" w:hAnsi="Helvetica" w:cs="Helvetica"/>
          <w:color w:val="5F5861"/>
          <w:sz w:val="21"/>
          <w:szCs w:val="21"/>
        </w:rPr>
        <w:t xml:space="preserve"> 19 декабря 2015 г. № 1382.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 xml:space="preserve">паллиативная медицинская помощь, оказываемая </w:t>
      </w:r>
      <w:proofErr w:type="gramStart"/>
      <w:r>
        <w:rPr>
          <w:rFonts w:ascii="Helvetica" w:hAnsi="Helvetica" w:cs="Helvetica"/>
          <w:color w:val="5F5861"/>
          <w:sz w:val="21"/>
          <w:szCs w:val="21"/>
        </w:rPr>
        <w:t>медицинскими  организациями</w:t>
      </w:r>
      <w:proofErr w:type="gramEnd"/>
      <w:r>
        <w:rPr>
          <w:rFonts w:ascii="Helvetica" w:hAnsi="Helvetica" w:cs="Helvetica"/>
          <w:color w:val="5F5861"/>
          <w:sz w:val="21"/>
          <w:szCs w:val="21"/>
        </w:rPr>
        <w:t>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медико-санитарная помощь оказывается бесплатно в амбулаторных условиях</w:t>
      </w:r>
      <w:r>
        <w:rPr>
          <w:rFonts w:ascii="Helvetica" w:hAnsi="Helvetica" w:cs="Helvetica"/>
          <w:color w:val="5F5861"/>
          <w:sz w:val="21"/>
          <w:szCs w:val="21"/>
          <w:u w:val="single"/>
        </w:rPr>
        <w:t>,</w:t>
      </w:r>
      <w:r>
        <w:rPr>
          <w:rFonts w:ascii="Helvetica" w:hAnsi="Helvetica" w:cs="Helvetica"/>
          <w:color w:val="5F5861"/>
          <w:sz w:val="21"/>
          <w:szCs w:val="21"/>
        </w:rPr>
        <w:t> в плановой и неотложной формах.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Первичная специализированная медико-санитарная помощь оказывается врачами-специалистами, включая врачей-специалистов</w:t>
      </w:r>
      <w:r>
        <w:rPr>
          <w:rStyle w:val="a3"/>
          <w:rFonts w:ascii="Helvetica" w:hAnsi="Helvetica" w:cs="Helvetica"/>
          <w:color w:val="5F5861"/>
          <w:sz w:val="21"/>
          <w:szCs w:val="21"/>
          <w:u w:val="single"/>
        </w:rPr>
        <w:t>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Паллиативная медицинская помощь оказывается бесплатно в амбулаторных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Медицинская помощь оказывается в следующих формах: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плановая – 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Оказание первичной специализированной медицинской помощи осуществляется: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по направлению врача-терапевта участкового, врача-педиатра участкового, врача-специалиста, фельдшера, среднего медицинского работника, ведущего самостоятельный прием;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в случае самостоятельного обращения гражданина в медицинскую организацию, в том числе и выбранную им в соответствии с законодательством.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lastRenderedPageBreak/>
        <w:t>Экстренная медицинская помощь оказывается вне очереди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Госпитализация граждан в медицинские организации по экстренным или неотложным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медицинских показаний.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Отсутствие полиса и документа, удостоверяющего личность, не является основанием для отказа в экстренной госпитализации.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Плановая специализированная медицинская помощь, предоставляется по направлению лечащего врача при наличии оформленной выписки из медицинской карты с результатами обследования.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Объем лечебных и консультативно-диагностических мероприятий, продолжительность приема при оказании медицинской помощи в амбулаторных условиях определяются лечащим врачом согласно состоянию пациента с учетом утвержденных порядков, стандартов оказания медицинской помощи. Лечащий врач вправе отклоняться от стандартов с учетом имеющихся индивидуальных показаний пациента.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салфетки), в том числе разовым, на бесплатной основе.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Оказание платных медицинских услуг гражданам осуществляется в соответствии с Федеральным законом «Об основах охраны здоровья граждан в Российской Федерации» и постановлением Правительства Российской Федерации от 4 октября 2012 г. № 1006 «Об утверждении Правил предоставления медицинскими организациями платных медицинских услуг».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Объем диагностических и лечебных мероприятий для конкретного гражданина определяется лечащим врачом на основе порядков оказания медицинской помощи, стандартов медицинской помощи и клинических рекомендаций (протоколов лечения). При этом гражданин обязан выполнять назначения лечащего врача и соблюдать правила внутреннего распорядка медицинской организации.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Санитарно-гигиенические и другие условия при оказании медицинских услуг должны соответствовать требованиям, предъявляемым при лицензировании медицинской организации.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Медицинские организации, оказывающие медицинскую помощь в рамках Программы, обязаны: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информировать граждан в доступной форме, в том числе с использованием информационно-телекоммуникационной сети «Интернет», об осуществляемой медицинской деятельности и о медицинских работниках медицинских организаций, об уровне их образования и их квалификации;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предоставлять пациентам полную и достоверную информацию об оказываемой медицинской помощи, в том числе о видах, качестве и условиях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 xml:space="preserve">обеспечивать </w:t>
      </w:r>
      <w:proofErr w:type="spellStart"/>
      <w:r>
        <w:rPr>
          <w:rFonts w:ascii="Helvetica" w:hAnsi="Helvetica" w:cs="Helvetica"/>
          <w:color w:val="5F5861"/>
          <w:sz w:val="21"/>
          <w:szCs w:val="21"/>
        </w:rPr>
        <w:t>этапность</w:t>
      </w:r>
      <w:proofErr w:type="spellEnd"/>
      <w:r>
        <w:rPr>
          <w:rFonts w:ascii="Helvetica" w:hAnsi="Helvetica" w:cs="Helvetica"/>
          <w:color w:val="5F5861"/>
          <w:sz w:val="21"/>
          <w:szCs w:val="21"/>
        </w:rPr>
        <w:t xml:space="preserve"> и преемственность в оказании медицинской помощи, включая применение реабилитационных методов;</w:t>
      </w:r>
    </w:p>
    <w:p w:rsid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информировать граждан о возможности и сроках получения медицинской помощи в рамках Программы;</w:t>
      </w:r>
    </w:p>
    <w:p w:rsidR="00C12530" w:rsidRPr="00B67F3F" w:rsidRDefault="00B67F3F" w:rsidP="00B67F3F">
      <w:pPr>
        <w:pStyle w:val="consplusnormal"/>
        <w:shd w:val="clear" w:color="auto" w:fill="FDFCFD"/>
        <w:spacing w:before="0" w:beforeAutospacing="0" w:after="150" w:afterAutospacing="0"/>
        <w:rPr>
          <w:rFonts w:ascii="Helvetica" w:hAnsi="Helvetica" w:cs="Helvetica"/>
          <w:color w:val="5F5861"/>
          <w:sz w:val="21"/>
          <w:szCs w:val="21"/>
        </w:rPr>
      </w:pPr>
      <w:r>
        <w:rPr>
          <w:rFonts w:ascii="Helvetica" w:hAnsi="Helvetica" w:cs="Helvetica"/>
          <w:color w:val="5F5861"/>
          <w:sz w:val="21"/>
          <w:szCs w:val="21"/>
        </w:rPr>
        <w:t>осуществлять информационное наполнение единого портала о наличии свободных мест на госпитализацию, о регистрации выданных направлений на госпитализацию и о госпитализации больных.</w:t>
      </w:r>
      <w:bookmarkStart w:id="0" w:name="_GoBack"/>
      <w:bookmarkEnd w:id="0"/>
    </w:p>
    <w:sectPr w:rsidR="00C12530" w:rsidRPr="00B6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60"/>
    <w:rsid w:val="004F7B60"/>
    <w:rsid w:val="00B67F3F"/>
    <w:rsid w:val="00C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4ECC"/>
  <w15:chartTrackingRefBased/>
  <w15:docId w15:val="{0E3DB303-F86D-4D11-A1BB-EBD3749A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67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67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980</Words>
  <Characters>5591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2019-07-26T10:21:00Z</dcterms:created>
  <dcterms:modified xsi:type="dcterms:W3CDTF">2019-07-26T10:21:00Z</dcterms:modified>
</cp:coreProperties>
</file>