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4C" w:rsidRDefault="000D5F36" w:rsidP="000D5F36">
      <w:pPr>
        <w:shd w:val="clear" w:color="auto" w:fill="ECF0F1"/>
        <w:spacing w:after="0" w:line="240" w:lineRule="atLeast"/>
        <w:rPr>
          <w:rFonts w:ascii="Trebuchet MS" w:eastAsia="Times New Roman" w:hAnsi="Trebuchet MS" w:cs="Times New Roman"/>
          <w:color w:val="2C3E50"/>
          <w:sz w:val="32"/>
          <w:szCs w:val="32"/>
          <w:lang w:eastAsia="ru-RU"/>
        </w:rPr>
      </w:pPr>
      <w:r w:rsidRPr="000D5F36">
        <w:rPr>
          <w:rFonts w:ascii="Trebuchet MS" w:eastAsia="Times New Roman" w:hAnsi="Trebuchet MS" w:cs="Times New Roman"/>
          <w:color w:val="2C3E50"/>
          <w:sz w:val="32"/>
          <w:szCs w:val="32"/>
          <w:lang w:eastAsia="ru-RU"/>
        </w:rPr>
        <w:t>ПРАВИЛА ВНУТРЕННЕГО РАСПОРЯДКА ДЛЯ ПОСЕТИТЕЛЕЙ</w:t>
      </w:r>
    </w:p>
    <w:p w:rsidR="000D5F36" w:rsidRPr="000D5F36" w:rsidRDefault="000D5F36" w:rsidP="000D5F36">
      <w:pPr>
        <w:shd w:val="clear" w:color="auto" w:fill="ECF0F1"/>
        <w:spacing w:after="0" w:line="240" w:lineRule="atLeast"/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</w:pP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Настоящие правила определяют внутре</w:t>
      </w:r>
      <w:r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нний распорядок в БУЗОО "Г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 xml:space="preserve">ородская поликлиника № </w:t>
      </w:r>
      <w:r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11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", режим работы, порядок обращения пациентов, порядок оформления медицинских документов, права и обязанности пациентов.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</w:r>
      <w:proofErr w:type="gramStart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Правила разработаны в соответствии с Федеральным Законом от 21.11.2011 г. № 323-ФЗ "Об основах охраны граждан в Российской Федерации", Федеральным Законом от 29.11.2010 г. № 326-ФЗ "Об обязательном медицинском страховании в Российской Федерации", постановлением Правительства Омской области от 24.12.2014 г. № 330-п "О Территориальной программе государственных гарантий бесплатного оказания гражданам медицинской помощи в Омской области на 2015 год и на плановый период 2016</w:t>
      </w:r>
      <w:proofErr w:type="gramEnd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 xml:space="preserve"> и 2017 годов", письмом МЗ РФ от 04.04.2005 г. № 734/МЗ-14 "О порядке хранения амбулаторной карты", Постановлением главного санитарного врача РФ от 18.05.2010 г. № 58 «Об утверждении </w:t>
      </w:r>
      <w:proofErr w:type="spellStart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СанПиН</w:t>
      </w:r>
      <w:proofErr w:type="spellEnd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 xml:space="preserve"> 2.1.3.2630-10 «Санитарно-эпидемиологические требования к организациям, осуществляющим медицинскую деятельность»,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1. Общие положения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1.1. Правила внутреннего распорядка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 поведение посетителя в поликлинике, а также иные вопросы, возникающие между пациентом (его представителем) и поликлиникой.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1.2. Настоящие Правила обязательны для всех пациентов и их законных представителей,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  <w:r w:rsidRPr="000D5F36">
        <w:rPr>
          <w:rFonts w:ascii="Trebuchet MS" w:eastAsia="Times New Roman" w:hAnsi="Trebuchet MS" w:cs="Times New Roman"/>
          <w:color w:val="2C3E50"/>
          <w:sz w:val="19"/>
          <w:lang w:eastAsia="ru-RU"/>
        </w:rPr>
        <w:t> 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1.3. Правила внутреннего распорядка для пациентов включают: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порядок обращения пациента в поликлинику;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права и обязанности пациента;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порядок разрешения конфликтных ситуаций между учреждением и пациентом;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порядок предоставления информации о состоянии здоровья пациента;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график работы поликлиники и ее должностных лиц;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1.4. Правила внутреннего распорядка для пациентов должны находиться в доступном для пациентов месте.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2. Прядок обращения пациентов в поликлинику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2.1. В целях профилактики заболеваний, своевременной диагностики и лечения в амбулаторных условиях, а также обеспечения доступности медицинской помощи граждане закрепляются за поликлиникой по территориально-участковому принципу.</w:t>
      </w:r>
      <w:r w:rsidRPr="000D5F36">
        <w:rPr>
          <w:rFonts w:ascii="Trebuchet MS" w:eastAsia="Times New Roman" w:hAnsi="Trebuchet MS" w:cs="Times New Roman"/>
          <w:color w:val="2C3E50"/>
          <w:sz w:val="19"/>
          <w:lang w:eastAsia="ru-RU"/>
        </w:rPr>
        <w:t> 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2.2. При состояниях, требующих оказания неотложной медицинской помощи, помощь оказывается врачом-педиатром кабинета неотложной медицинской помощи поликлиники.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- 03.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2.3. Медицинская помощь населению осуществляется по территориальному принципу непосредственно в поликлинике или на дому.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 xml:space="preserve">Медицинская помощь в поликлинике оказывается ежедневно с понедельника по пятницу с 8-00 до 20-00 (в летнее время), с 8-00 до 19-00 (в зимнее время), в выходные и праздничные дни с 8-00 </w:t>
      </w:r>
      <w:proofErr w:type="gramStart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до</w:t>
      </w:r>
      <w:proofErr w:type="gramEnd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 xml:space="preserve"> 14-00.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</w:r>
      <w:proofErr w:type="gramStart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Медицинская помощь на дому осуществляется в следующих случаях: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при наличии острого внезапного ухудшения состояния здоровья (высокая температура - 38 градусов и выше, боли в животе, судороги, кровотечения, иные состояния, требующие неотложной помощи и консультации врача); тяжелых хронических заболеваниях (при невозможности передвижения пациента);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при необходимости соблюдения строгого домашнего режима, рекомендованного лечащим врачом.</w:t>
      </w:r>
      <w:proofErr w:type="gramEnd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Предусмотрено оказание медицинской помощи на дому врачами-специалистами по направлению врача-педиатра участкового и по согласованию с заместителем главного врача по лечебной работе.</w:t>
      </w:r>
      <w:r w:rsidRPr="000D5F36">
        <w:rPr>
          <w:rFonts w:ascii="Trebuchet MS" w:eastAsia="Times New Roman" w:hAnsi="Trebuchet MS" w:cs="Times New Roman"/>
          <w:color w:val="2C3E50"/>
          <w:sz w:val="19"/>
          <w:lang w:eastAsia="ru-RU"/>
        </w:rPr>
        <w:t> 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2.4. При состояниях, не требующих срочного медицинского вмешательства пациент (его представитель) обращается в регистратуру учреждения.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При обращении в поликлинику пациент обязан представить документ, удостоверяющий личность ребенка (свидетельство о рождении, паспорт), действующий страховой полис ребёнка и документ, удостоверяющий личность сопровождающего его лица (паспорт).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 xml:space="preserve">В регистратуре учреждения при первичном обращении пациент или его представитель оформляют заявление о прикреплении к медицинскому учреждению, информированное добровольное для получения первичной медико-санитарной помощи, согласие на обработку персональных данных. </w:t>
      </w:r>
      <w:proofErr w:type="gramStart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 xml:space="preserve">На </w:t>
      </w:r>
      <w:r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 xml:space="preserve"> 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lastRenderedPageBreak/>
        <w:t xml:space="preserve">ребёнка заводится медицинская карта (история развития ребёнка (форма 112/у), </w:t>
      </w:r>
      <w:r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 xml:space="preserve">на взрослого 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медицинская карта амбулаторного больного (форма 025/у-04)),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(регистрации), адрес по месту фактического проживания, серия и номер документа, удостоверяющего личность (свидетельство о рождении, паспорт), серия и номер</w:t>
      </w:r>
      <w:proofErr w:type="gramEnd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 xml:space="preserve"> страхового медицинского полиса, данные страхового номера индивидуального лицевого счёта (СНИЛС), сведения о родителях пациента или иных законных представителях.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Медицинская карта пациента является собственностью поликлиники и хранится в регистратуре.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Не разрешается самовольный вынос медицинской карты из поликлиники без согласования с руководством поликлиники!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 xml:space="preserve">2.5. </w:t>
      </w:r>
      <w:proofErr w:type="gramStart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 xml:space="preserve">Предварительная запись пациентов на прием к врачу-педиатру участковому </w:t>
      </w:r>
      <w:r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 xml:space="preserve"> или терапевту </w:t>
      </w:r>
      <w:proofErr w:type="spellStart"/>
      <w:r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учасковому</w:t>
      </w:r>
      <w:proofErr w:type="spellEnd"/>
      <w:r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 xml:space="preserve"> 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осуществляется при их обращении в регистратуру непосредственно или по телефону, путем электронной записи через портал пациента в сети «Интернет» - http://www.omskzdrav.ru/re</w:t>
      </w:r>
      <w:r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gistratura/3/gorod_omsk/gorodskaya_poliklinika11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 xml:space="preserve">/, через </w:t>
      </w:r>
      <w:proofErr w:type="spellStart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инфомат</w:t>
      </w:r>
      <w:proofErr w:type="spellEnd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, установленный в холле поликлиники, либо непосредственно на приеме у лечащего врача через медицинскую электронную систему.</w:t>
      </w:r>
      <w:proofErr w:type="gramEnd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 xml:space="preserve">Прием врачом-педиатром участковым </w:t>
      </w:r>
      <w:r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 xml:space="preserve">или терапевтом участковым 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при наличии медицинских показаний осуществляется в день обращения пациента.</w:t>
      </w:r>
      <w:r w:rsidRPr="000D5F36">
        <w:rPr>
          <w:rFonts w:ascii="Trebuchet MS" w:eastAsia="Times New Roman" w:hAnsi="Trebuchet MS" w:cs="Times New Roman"/>
          <w:color w:val="2C3E50"/>
          <w:sz w:val="19"/>
          <w:lang w:eastAsia="ru-RU"/>
        </w:rPr>
        <w:t> 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 xml:space="preserve">Организация предварительной записи больных на прием к врачам-специалистам в поликлинике осуществляется при их непосредственном обращении в регистратуру по направлению участкового врача или другого врача-специалиста, путем электронной записи через портал пациента в сети «Интернет», через </w:t>
      </w:r>
      <w:proofErr w:type="spellStart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инфомат</w:t>
      </w:r>
      <w:proofErr w:type="spellEnd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, установленный в холле, непосредственно на приеме у лечащего врача через медицинскую электронную систему.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Вопрос о необходимости экстренной консультации врачом-специалистом решается участковым врачом или заведующим отделением.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Очередность на отдельные диагностические исследования и консультативную помощь врачей специалистов не более 14 дней.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Время на прием больного врачом-педиатром участковым,</w:t>
      </w:r>
      <w:r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 xml:space="preserve"> терапевтом участковым 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врачом специалистом определено с учетом действующих расчетных нормативов.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 xml:space="preserve">2.6. </w:t>
      </w:r>
      <w:proofErr w:type="gramStart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Информацию о времени приема врачей всех специальностей, о вызове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форме, наглядно - с помощью информационных стендов, расположенных в холле поликлиники, а также с помощью сети “Интернет” на официаль</w:t>
      </w:r>
      <w:r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ном сайте поликлиники</w:t>
      </w:r>
      <w:proofErr w:type="gramEnd"/>
      <w:r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 xml:space="preserve"> – www.dgp11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g.ru и на портале электронной записи.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2.7. При наличии лечебно-диагностической ситуации, которую не может разрешить самостоятельно врач-специалист амбулаторно-поликлинического учреждения по месту жительства гражданина, пациенту выдается направление на консультацию в специализированное учреждение здравоохранения.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2.8.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 в установленном порядке.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2.9 Экстренная госпитализация больных с острой патологией осуществляется с привлечением сил и сре</w:t>
      </w:r>
      <w:proofErr w:type="gramStart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дств сл</w:t>
      </w:r>
      <w:proofErr w:type="gramEnd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ужбы скорой медицинской помощи.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3.Права и обязанности пациентов: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Права и обязанности пациентов утверждаются в соответствие с Федеральным законом Российской Федерации от 21 ноября 2011 г. N 323-ФЗ "Об основах охраны здоровья граждан в Российской Федерации"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 xml:space="preserve">3.1. </w:t>
      </w:r>
      <w:proofErr w:type="gramStart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При обращении за медицинской помощью и её получении пациент и его законный представитель имеет право на: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уважительное и гуманное отношение со стороны медицинских работников и других лиц, участвующих в оказании медицинской помощи;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proofErr w:type="gramEnd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 xml:space="preserve">- </w:t>
      </w:r>
      <w:proofErr w:type="gramStart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облегчение боли, связанной с заболеванием и (или) медицинским вмешательством, доступными способами и средствами;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перевод под медицинское наблюдение к другому врачу-педиатру участковому с разрешения главного врача и при согласии другого врача;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lastRenderedPageBreak/>
        <w:t>- обжалование поставленного диагноза, применяемых методов обследования и лечения;</w:t>
      </w:r>
      <w:proofErr w:type="gramEnd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добровольное информированное согласие пациента на медицинское вмешательство в соответствии с законодательными актами;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отказ от оказания (прекращения) медицинской помощи, от госпитализации, за исключением случаев, предусмотренных законодательными актами;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обращение с жалобой к должностным лицам учреждения, в котором ему оказывается медицинская помощь, а также к должностным лицам государственных органов или в суд;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3.2. Пациент и его законный представитель обязаны: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соблюдать режим работы учреждения;</w:t>
      </w:r>
      <w:r w:rsidRPr="000D5F36">
        <w:rPr>
          <w:rFonts w:ascii="Trebuchet MS" w:eastAsia="Times New Roman" w:hAnsi="Trebuchet MS" w:cs="Times New Roman"/>
          <w:color w:val="2C3E50"/>
          <w:sz w:val="19"/>
          <w:lang w:eastAsia="ru-RU"/>
        </w:rPr>
        <w:t> 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соблюдать правила внутреннего распорядка поликлиники для пациентов;</w:t>
      </w:r>
      <w:r w:rsidRPr="000D5F36">
        <w:rPr>
          <w:rFonts w:ascii="Trebuchet MS" w:eastAsia="Times New Roman" w:hAnsi="Trebuchet MS" w:cs="Times New Roman"/>
          <w:color w:val="2C3E50"/>
          <w:sz w:val="19"/>
          <w:lang w:eastAsia="ru-RU"/>
        </w:rPr>
        <w:t> 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правила поведения в общественных местах;</w:t>
      </w:r>
      <w:r w:rsidRPr="000D5F36">
        <w:rPr>
          <w:rFonts w:ascii="Trebuchet MS" w:eastAsia="Times New Roman" w:hAnsi="Trebuchet MS" w:cs="Times New Roman"/>
          <w:color w:val="2C3E50"/>
          <w:sz w:val="19"/>
          <w:lang w:eastAsia="ru-RU"/>
        </w:rPr>
        <w:t> 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соблюдать требования пожарной безопасности;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соблюдать санитарно-противоэпидемиологический режим;</w:t>
      </w:r>
      <w:r w:rsidRPr="000D5F36">
        <w:rPr>
          <w:rFonts w:ascii="Trebuchet MS" w:eastAsia="Times New Roman" w:hAnsi="Trebuchet MS" w:cs="Times New Roman"/>
          <w:color w:val="2C3E50"/>
          <w:sz w:val="19"/>
          <w:lang w:eastAsia="ru-RU"/>
        </w:rPr>
        <w:t> 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соблюдать установленный в учреждении регламент работы;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выполнять предписания лечащего врача и сотрудничать с ним на всех этапах оказания медицинской помощи;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уважительно относиться к медицинскому персоналу, проявлять доброжелательное и вежливое отношение к другим пациентам;</w:t>
      </w:r>
      <w:r w:rsidRPr="000D5F36">
        <w:rPr>
          <w:rFonts w:ascii="Trebuchet MS" w:eastAsia="Times New Roman" w:hAnsi="Trebuchet MS" w:cs="Times New Roman"/>
          <w:color w:val="2C3E50"/>
          <w:sz w:val="19"/>
          <w:lang w:eastAsia="ru-RU"/>
        </w:rPr>
        <w:t> 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бережно относиться к имуществу учреждения;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- соблюдать правила запрета курения в медицинских учреждениях.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 xml:space="preserve">4. </w:t>
      </w:r>
      <w:proofErr w:type="gramStart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Порядок разрешения конфликтов между пациентом и поликлиникой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Порядок рассмотрения жалоб и обращений определен в соответствие с Федеральным законом Российской Федерации от 21 ноября 2011 г. N 323-ФЗ "Об основах охраны здоровья граждан в Российской Федерации";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Федеральным Законом Российской Федерации “О порядке рассмотрения обращений граждан Российской Федерации от 02.05.2006г. 59-ФЗ.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4.1.</w:t>
      </w:r>
      <w:proofErr w:type="gramEnd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 xml:space="preserve"> В случае конфликтных ситуаций пациент и его законный представитель имеет право непосредственно обратиться в администрацию поликлиники или к дежурному администратору согласно графику приема граждан или обратиться к администрации поликлиники в письменном виде.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</w:t>
      </w:r>
      <w:proofErr w:type="gramStart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,</w:t>
      </w:r>
      <w:proofErr w:type="gramEnd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4.4. В случае</w:t>
      </w:r>
      <w:proofErr w:type="gramStart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,</w:t>
      </w:r>
      <w:proofErr w:type="gramEnd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 xml:space="preserve">4.5. </w:t>
      </w:r>
      <w:proofErr w:type="gramStart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 xml:space="preserve"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lastRenderedPageBreak/>
        <w:t>личную подпись и дату</w:t>
      </w:r>
      <w:proofErr w:type="gramEnd"/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t>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4.8. Ответ на письменное обращение, поступившее в администрацию поликлиники, направляется по почтовому адресу, указанному в обращении, или вручается лично, по согласованию с заявителем.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5. Порядок получения информации о состоянии здоровья пациента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5.1. Информация о состоянии здоровья предоставляется пациенту и его представителю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5.2.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5.3.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6. График работы поликлиники и ее должностных лиц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6.1. График работы поликлиники и ее должностных лиц определяется правилами внутреннего трудового распорядка поликлиники.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6.2.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6.3.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6.4.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по телефону приемной, на официальном сайте учреждения в сети «Интернет» или на информационном стенде рядом с регистратурой.</w:t>
      </w:r>
      <w:r w:rsidRPr="000D5F36">
        <w:rPr>
          <w:rFonts w:ascii="Trebuchet MS" w:eastAsia="Times New Roman" w:hAnsi="Trebuchet MS" w:cs="Times New Roman"/>
          <w:color w:val="2C3E50"/>
          <w:sz w:val="19"/>
          <w:szCs w:val="19"/>
          <w:lang w:eastAsia="ru-RU"/>
        </w:rPr>
        <w:br/>
        <w:t>6.5.Режим работы поликлиники утверждается главным врачом.</w:t>
      </w:r>
    </w:p>
    <w:p w:rsidR="00CF55D4" w:rsidRDefault="00CF55D4"/>
    <w:sectPr w:rsidR="00CF55D4" w:rsidSect="00CF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F36"/>
    <w:rsid w:val="000D5F36"/>
    <w:rsid w:val="008961BE"/>
    <w:rsid w:val="00A6754A"/>
    <w:rsid w:val="00CF55D4"/>
    <w:rsid w:val="00EC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D4"/>
  </w:style>
  <w:style w:type="paragraph" w:styleId="1">
    <w:name w:val="heading 1"/>
    <w:basedOn w:val="a"/>
    <w:link w:val="10"/>
    <w:uiPriority w:val="9"/>
    <w:qFormat/>
    <w:rsid w:val="000D5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D5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24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6" w:color="236FA1"/>
            <w:right w:val="none" w:sz="0" w:space="0" w:color="auto"/>
          </w:divBdr>
        </w:div>
        <w:div w:id="6349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4</cp:revision>
  <dcterms:created xsi:type="dcterms:W3CDTF">2015-08-26T03:31:00Z</dcterms:created>
  <dcterms:modified xsi:type="dcterms:W3CDTF">2015-08-26T03:47:00Z</dcterms:modified>
</cp:coreProperties>
</file>