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C" w:rsidRPr="00DD63EC" w:rsidRDefault="00DD63EC" w:rsidP="00DD63EC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</w:pPr>
      <w:r w:rsidRPr="00DD63EC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  <w:t>Педиатрическое отделение детей раннего возраста</w:t>
      </w:r>
    </w:p>
    <w:p w:rsidR="00DD63EC" w:rsidRPr="00DD63EC" w:rsidRDefault="00DD63EC" w:rsidP="00DD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EC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</w:t>
      </w:r>
    </w:p>
    <w:p w:rsidR="00DD63EC" w:rsidRPr="00DD63EC" w:rsidRDefault="00DD63EC" w:rsidP="00DD63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dgb11.ru/UPLOAD/user/images/%D0%BF%D0%BE%D0%B4%D1%80%D0%B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11.ru/UPLOAD/user/images/%D0%BF%D0%BE%D0%B4%D1%80%D0%B2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В педиатрическое отделение детей раннего возраста I 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госпитализируются дети от 1 месяца до 3 лет.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Педиатрическое отделение раннего возраста II 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занимается лечением детей с рождения до 3 лет.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В эти отделения поступают дети со следующими заболеваниями</w:t>
      </w: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: </w:t>
      </w:r>
    </w:p>
    <w:p w:rsidR="00DD63EC" w:rsidRPr="00DD63EC" w:rsidRDefault="00DD63EC" w:rsidP="00DD6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Болезни органов дыхания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: ОРВИ, бронхиты, пневмонии, бронхиальная астма;</w:t>
      </w:r>
    </w:p>
    <w:p w:rsidR="00DD63EC" w:rsidRPr="00DD63EC" w:rsidRDefault="00DD63EC" w:rsidP="00DD6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Болезни органов мочевыделительной системы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: инфекция мочевыводящих путей, острый и хронический пиелонефрит, дисметаболическая нефропатия, ТИН;</w:t>
      </w:r>
    </w:p>
    <w:p w:rsidR="00DD63EC" w:rsidRPr="00DD63EC" w:rsidRDefault="00DD63EC" w:rsidP="00DD6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Гематология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: анемии различного генеза, тромбоцитопеническая пурпура, геморрагический васкулит;</w:t>
      </w:r>
    </w:p>
    <w:p w:rsidR="00DD63EC" w:rsidRPr="00DD63EC" w:rsidRDefault="00DD63EC" w:rsidP="00DD6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Токсикология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: отравления медицинскими препаратами, а так же другими веществами немедицинского назначения (кроме прижигающих);</w:t>
      </w:r>
    </w:p>
    <w:p w:rsidR="00DD63EC" w:rsidRPr="00DD63EC" w:rsidRDefault="00DD63EC" w:rsidP="00DD6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Аллергология: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 острые аллергозы - крапивница, отек Квинке, атонический дерматит. Гастроэнтероглогия: хронические колиты, энтероколиты. ДЖВП, глистно-паразитарные инвазии различной этиологии;</w:t>
      </w:r>
    </w:p>
    <w:p w:rsidR="00DD63EC" w:rsidRPr="00DD63EC" w:rsidRDefault="00DD63EC" w:rsidP="00DD63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Хронические расстройства питания, патология обмена веществ: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гипотрофии, рахит, гипервитаминоз D.</w:t>
      </w:r>
    </w:p>
    <w:p w:rsidR="00DD63EC" w:rsidRPr="00DD63EC" w:rsidRDefault="00DD63EC" w:rsidP="00DD63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847850"/>
            <wp:effectExtent l="19050" t="0" r="0" b="0"/>
            <wp:wrapSquare wrapText="bothSides"/>
            <wp:docPr id="3" name="Рисунок 3" descr="http://dgb11.ru/UPLOAD/user/images/DSC_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11.ru/UPLOAD/user/images/DSC_8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В процессе обследования и лечения используются вся диагностическая база ДГКБ № 11,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Базисная терапия, инструментальное и лабораторное обследование регламентированные медико-экономическими стандартами предоставляются больным бесплатно (при наличии у них полиса обязательного медицинского страхования). 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Больные дети размещаются в одно- или двухместных боксах, оборудованных ванной и раковиной. Имеются палаты повышенной комфортности, оснащенные отдельным сан. узлом, душем, телевизором, холодильником. 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4" name="Рисунок 4" descr="http://dgb11.ru/UPLOAD/user/images/%D0%BF%D0%BE%D0%B4%D1%80%D0%B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b11.ru/UPLOAD/user/images/%D0%BF%D0%BE%D0%B4%D1%80%D0%B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Имеется также процедурный кабинет, ингаляторий, столовая, туалетная комната и душевая для лиц, госпитализированных по уходу за больными детьми.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Пациентам, желающим пройти расширенное обследование, можно это сделать на платной основе согласно действущего прейскуранта Детского диагностического центра.</w:t>
      </w:r>
    </w:p>
    <w:p w:rsidR="00DD63EC" w:rsidRPr="00DD63EC" w:rsidRDefault="00DD63EC" w:rsidP="00DD63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lastRenderedPageBreak/>
        <w:t>Уже много лет Детская городская клиническая больница №11 заботится о здоровье социально значимых детей. Это малыши, оставшиеся без попечения родителей и дети из неблагополучных семей.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noProof/>
          <w:color w:val="292B2C"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28775"/>
            <wp:effectExtent l="19050" t="0" r="0" b="0"/>
            <wp:wrapSquare wrapText="bothSides"/>
            <wp:docPr id="5" name="Рисунок 5" descr="http://dgb11.ru/UPLOAD/user/images/2014_10_03%20-%2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b11.ru/UPLOAD/user/images/2014_10_03%20-%200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В педиатрическом отделении раннего возраста для них организован отдельный «пост». Медицинские сестры и врачи относятся к ним очень трепетно и стараются сделать все, чтобы детки чувствовали себя как дома. В отделении они получают достойное лечение, полноценное питание, одежду и игрушки.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Но руководство больницы понимает, что для таких детей любовь и внимание, порой, намного важнее, чем материальная и медицинская помощь. Вот почему ДГКБ№11 сотрудничает с волонтерами общественных организаций «Аистенок» и «Епархия». Каждый день добровольцы приходят в больницу, чтобы заниматься с ребятами самыми простыми вещами: играют, гуляют, читают книжки, общаются… Все это помогает восполнить дефицит внимания, которое малыши по разным причинам не могут получить от своих родителей, и способствует более быстрому выздоровлению.</w:t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hyperlink r:id="rId9" w:history="1">
        <w:r w:rsidRPr="00DD63EC">
          <w:rPr>
            <w:rFonts w:ascii="Segoe UI" w:eastAsia="Times New Roman" w:hAnsi="Segoe UI" w:cs="Segoe UI"/>
            <w:b/>
            <w:bCs/>
            <w:color w:val="048FC3"/>
            <w:sz w:val="20"/>
            <w:u w:val="single"/>
            <w:lang w:eastAsia="ru-RU"/>
          </w:rPr>
          <w:t>Статья "Как правильно помочь отказничкам?" </w:t>
        </w:r>
      </w:hyperlink>
      <w:r w:rsidRPr="00DD63EC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 </w:t>
      </w:r>
    </w:p>
    <w:p w:rsidR="00DD63EC" w:rsidRPr="00DD63EC" w:rsidRDefault="00DD63EC" w:rsidP="00DD63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Наш адрес: 620028, г Екатеринбург, ул Нагорная 48.</w:t>
      </w:r>
      <w:r w:rsidRPr="00DD63EC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DD63EC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Тел. (343) 232-43-03</w:t>
      </w:r>
    </w:p>
    <w:p w:rsidR="00DA163E" w:rsidRDefault="00DA163E"/>
    <w:sectPr w:rsidR="00DA163E" w:rsidSect="00DA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EAB"/>
    <w:multiLevelType w:val="multilevel"/>
    <w:tmpl w:val="CBC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3EC"/>
    <w:rsid w:val="00DA163E"/>
    <w:rsid w:val="00D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3E"/>
  </w:style>
  <w:style w:type="paragraph" w:styleId="1">
    <w:name w:val="heading 1"/>
    <w:basedOn w:val="a"/>
    <w:link w:val="10"/>
    <w:uiPriority w:val="9"/>
    <w:qFormat/>
    <w:rsid w:val="00DD6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63EC"/>
    <w:rPr>
      <w:b/>
      <w:bCs/>
    </w:rPr>
  </w:style>
  <w:style w:type="character" w:styleId="a4">
    <w:name w:val="Hyperlink"/>
    <w:basedOn w:val="a0"/>
    <w:uiPriority w:val="99"/>
    <w:semiHidden/>
    <w:unhideWhenUsed/>
    <w:rsid w:val="00DD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gb11.ru/about/news/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2019-09-02T10:38:00Z</dcterms:created>
  <dcterms:modified xsi:type="dcterms:W3CDTF">2019-09-02T10:38:00Z</dcterms:modified>
</cp:coreProperties>
</file>