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5F" w:rsidRDefault="00596D5F" w:rsidP="00596D5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141A2C"/>
          <w:sz w:val="21"/>
          <w:szCs w:val="21"/>
        </w:rPr>
      </w:pPr>
      <w:r>
        <w:rPr>
          <w:rStyle w:val="a4"/>
          <w:rFonts w:ascii="Arial" w:hAnsi="Arial" w:cs="Arial"/>
          <w:color w:val="141A2C"/>
          <w:sz w:val="21"/>
          <w:szCs w:val="21"/>
        </w:rPr>
        <w:t>Правила подготовки пациента к УЗИ щитовидной и слюнных желез, лимфоузлов, мягких тканей, УЗДГ сосудов шеи.</w:t>
      </w:r>
    </w:p>
    <w:p w:rsidR="00596D5F" w:rsidRDefault="00596D5F" w:rsidP="00596D5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141A2C"/>
          <w:sz w:val="21"/>
          <w:szCs w:val="21"/>
        </w:rPr>
      </w:pPr>
      <w:r>
        <w:rPr>
          <w:rFonts w:ascii="Arial" w:hAnsi="Arial" w:cs="Arial"/>
          <w:color w:val="141A2C"/>
          <w:sz w:val="21"/>
          <w:szCs w:val="21"/>
        </w:rPr>
        <w:t>Данные исследования проводятся без подготовки.</w:t>
      </w:r>
    </w:p>
    <w:p w:rsidR="00E540B1" w:rsidRDefault="00E540B1">
      <w:bookmarkStart w:id="0" w:name="_GoBack"/>
      <w:bookmarkEnd w:id="0"/>
    </w:p>
    <w:sectPr w:rsidR="00E5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1E"/>
    <w:rsid w:val="00596D5F"/>
    <w:rsid w:val="0063221E"/>
    <w:rsid w:val="00E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7C57-B8F5-4667-B41C-C19FEA69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2019-11-08T09:33:00Z</dcterms:created>
  <dcterms:modified xsi:type="dcterms:W3CDTF">2019-11-08T09:33:00Z</dcterms:modified>
</cp:coreProperties>
</file>