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Станция скорой медицинской помощи – учреждение здравоохранения, оказывающее круглосуточно гражданам медицинскую помощь при заболеваниях, несчастных случаях, травмах, отравлениях и других заболеваниях, требующих срочного медицинского вмешательства вне медицинской организации (по месту вызова бригады скорой медицинской помощи, а также в транспортном средстве при медицинской эвакуации).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Вызов скорой медицинской помощи осуществляется: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по телефону путем набора номеров "03", "103", "112",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с помощью коротких текстовых сообщений (SMS) для лиц с ограниченными возможностями;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при непосредственном обращении на станцию скорой медицинской помощи.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 xml:space="preserve">АУЗ УР «ССМП МЗ УР» оказывает скорую медицинскую помощь населению города Ижевска и </w:t>
      </w:r>
      <w:proofErr w:type="spellStart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Завьяловского</w:t>
      </w:r>
      <w:proofErr w:type="spellEnd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 xml:space="preserve"> района Удмуртской Республики. Скорая медицинская помощь оказывается бесплатно. Скорая медицинская помощь оказывается всем гражданам независимо от гражданства, прописки и ведомственной принадлежности. Обеспечение лекарственными препаратами и медицинскими изделиями осуществляется бесплатно согласно Территориальной программе государственных гарантий бесплатного оказания гражданам медицинской помощи на территории Удмуртской Республики.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 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Основными функциями станции скорой медицинской помощи являются: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организация и оказание скорой медицинской помощи взрослому и детскому населению вне медицинской организации в круглосуточном режиме;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медицинская эвакуация; обеспечение преемственности с медицинскими организациями при оказании скорой медицинской помощи;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взаимодействие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"Антитеррор";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комплектование выездных бригад скорой медицинской помощи медицинскими работниками; контроль и учет работы автомобилей скорой медицинской помощи.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Скорая медицинская помощь оказывается в следующих формах: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экстренной - при внезапных острых заболеваниях, состояниях, обострении хронических заболеваний, представляющих угрозу жизни пациента и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Скорая медицинская помощь вне медицинской организации оказывается медицинскими работниками выездных бригад скорой медицинской помощи.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с учетом повода к вызову, срочности, профиля выездной бригады скорой медицинской помощи и формы оказания медицинской помощи.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Поводами для вызова скорой медицинской помощи в экстренной форме являются: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нарушения сознания, представляющие угрозу жизни;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нарушения дыхания и системы кровообращения, представляющие угрозу жизни;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психические расстройства, сопровождающиеся действиями пациента, представляющими непосредственную опасность для него или других лиц;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внезапный болевой синдром, внезапные нарушения функции какого-либо органа или системы органов, представляющие угрозу жизни;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внезапные кровотечения, травмы любой этиологии, термические и химические ожоги представляющие угрозу жизни;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роды, угроза прерывания беременности;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дежурство при угрозе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Поводами для вызова скорой медицинской помощи в неотложной форме являются: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- внезапные острые заболевания (состояния), внезапные обострения хронических заболеваний без явных признаков угрозы жизни, требующие срочного медицинского вмешательства; констатация смерти (за исключением часов работы медицинских организаций, оказывающих медицинскую помощь в амбулаторных условиях).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При оказании скорой медицинской помощи в случае необходимости осуществляется медицинская эвакуация (транспортировка).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      В настоящее время АУЗ УР «ССМП МЗ УР» имеет 5 подстанций, расположенных во всех районах города из расчета 20 - минутной транспортной доступности</w:t>
      </w:r>
      <w:r w:rsidRPr="00375AB0">
        <w:rPr>
          <w:rFonts w:ascii="Calibri" w:eastAsia="Times New Roman" w:hAnsi="Calibri" w:cs="Calibri"/>
          <w:i/>
          <w:iCs/>
          <w:color w:val="555555"/>
          <w:sz w:val="21"/>
          <w:szCs w:val="21"/>
          <w:lang w:eastAsia="ru-RU"/>
        </w:rPr>
        <w:t>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 xml:space="preserve"> Скорая медицинская помощь оказывается силами 56 выездных бригад в 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lastRenderedPageBreak/>
        <w:t xml:space="preserve">суточном исчислении, в числе которых 50 </w:t>
      </w:r>
      <w:proofErr w:type="spellStart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обшепрофильных</w:t>
      </w:r>
      <w:proofErr w:type="spellEnd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 xml:space="preserve"> врачебных и фельдшерских бригад, 4 специализированные педиатрические бригады, 1 специализированная бригада анестезиологии - реанимации, 1 акушерская.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      В штате станции скорой медицинской помощи работает 98 врачей, из них высшая квалификационная категория по специальности «скорая медицинская помощь» присвоена 36 специалистам, первая – 18, вторая – 6, ученую степень кандидата медицинских наук имеют 3 врача. Среди 295 фельдшеров высшую квалификационную категорию имеют 63 медицинских работников, первую – 52, вторую – 5.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      Врачи скорой медицинской помощи имеют высшее медицинское образование по специальности «Лечебное дело», «Педиатрия», диплом и сертификат по специальности «Скорая медицинская помощь», "Анестезиолог - реаниматолог". Фельдшеры скорой медицинской помощи имеют образование по специальности «Лечебное дело», диплом и сертификат по специальности «Скорая и неотложная помощь». Медицинские сестры имеют образование "Сестринское дело" или неполное высшее медицинское образование.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br/>
        <w:t>      Оперативное управление ресурсами и информацией осуществляется с помощью АСУ СМП «АДИС». Автомобили скорой медицинской помощи оснащены системой спутниковой навигации ГЛОНАСС.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 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ru-RU"/>
        </w:rPr>
        <w:t>Государственное задание АУЗ УР «ССМП МЗ УР» на 2019 год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ru-RU"/>
        </w:rPr>
        <w:t>Наименование государственной работы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: оказание медицинской помощи при проведении официальных физкультурных, спортивных и массово-спортивных зрелищных мероприятий в соответствии с распорядительными документами правительства УР</w:t>
      </w:r>
    </w:p>
    <w:tbl>
      <w:tblPr>
        <w:tblW w:w="10620" w:type="dxa"/>
        <w:tblCellSpacing w:w="0" w:type="dxa"/>
        <w:tblBorders>
          <w:top w:val="single" w:sz="6" w:space="0" w:color="566887"/>
          <w:left w:val="single" w:sz="6" w:space="0" w:color="566887"/>
          <w:bottom w:val="single" w:sz="6" w:space="0" w:color="566887"/>
          <w:right w:val="single" w:sz="6" w:space="0" w:color="56688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3570"/>
        <w:gridCol w:w="1646"/>
        <w:gridCol w:w="1711"/>
        <w:gridCol w:w="1531"/>
        <w:gridCol w:w="1531"/>
      </w:tblGrid>
      <w:tr w:rsidR="00375AB0" w:rsidRPr="00375AB0" w:rsidTr="00375AB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Единица измерения показателя по ОКЕИ</w:t>
            </w:r>
          </w:p>
        </w:tc>
        <w:tc>
          <w:tcPr>
            <w:tcW w:w="0" w:type="auto"/>
            <w:gridSpan w:val="3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2019 год (очередной финансовый год)</w:t>
            </w: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2020 год (1й год планового периода)</w:t>
            </w: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2021 год (2й год планового периода)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Оказание медицинской помощи при проведении официальных физкультурных, спортивных и массово-спортивных зрелищных мероприятий</w:t>
            </w: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1500</w:t>
            </w:r>
          </w:p>
        </w:tc>
      </w:tr>
    </w:tbl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ru-RU"/>
        </w:rPr>
        <w:t>Показатели, характеризующие объем государственной услуги: 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«Скорая,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ситуациях»</w:t>
      </w:r>
    </w:p>
    <w:tbl>
      <w:tblPr>
        <w:tblW w:w="0" w:type="auto"/>
        <w:tblCellSpacing w:w="0" w:type="dxa"/>
        <w:tblBorders>
          <w:top w:val="single" w:sz="6" w:space="0" w:color="566887"/>
          <w:left w:val="single" w:sz="6" w:space="0" w:color="566887"/>
          <w:bottom w:val="single" w:sz="6" w:space="0" w:color="566887"/>
          <w:right w:val="single" w:sz="6" w:space="0" w:color="56688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877"/>
        <w:gridCol w:w="1523"/>
        <w:gridCol w:w="1845"/>
        <w:gridCol w:w="1728"/>
        <w:gridCol w:w="1728"/>
      </w:tblGrid>
      <w:tr w:rsidR="00375AB0" w:rsidRPr="00375AB0" w:rsidTr="00375AB0">
        <w:trPr>
          <w:tblCellSpacing w:w="0" w:type="dxa"/>
        </w:trPr>
        <w:tc>
          <w:tcPr>
            <w:tcW w:w="855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7260" w:type="dxa"/>
            <w:gridSpan w:val="3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2019 год (очередной финансовый год)</w:t>
            </w:r>
            <w:hyperlink r:id="rId4" w:anchor="Par804" w:history="1">
              <w:r w:rsidRPr="00375AB0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2020 год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(1-й год планового периода)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2021год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(2-й год планового периода)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85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5.3.1.</w:t>
            </w:r>
          </w:p>
        </w:tc>
        <w:tc>
          <w:tcPr>
            <w:tcW w:w="441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Количество пациентов</w:t>
            </w:r>
          </w:p>
        </w:tc>
        <w:tc>
          <w:tcPr>
            <w:tcW w:w="189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243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33000</w:t>
            </w:r>
          </w:p>
        </w:tc>
      </w:tr>
    </w:tbl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ru-RU"/>
        </w:rPr>
        <w:t>Показатели, характеризующие объем государственной услуги: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 «Скорая, в том числе скорая специализированная, медицинская помощь (включая медицинскую эвакуацию</w:t>
      </w:r>
      <w:proofErr w:type="gramStart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),  включенная</w:t>
      </w:r>
      <w:proofErr w:type="gramEnd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 xml:space="preserve"> в базовую программу обязательного медицинского страхования, а также оказание медицинской помощи при чрезвычайных ситуациях»</w:t>
      </w:r>
    </w:p>
    <w:tbl>
      <w:tblPr>
        <w:tblW w:w="0" w:type="auto"/>
        <w:tblCellSpacing w:w="0" w:type="dxa"/>
        <w:tblBorders>
          <w:top w:val="single" w:sz="6" w:space="0" w:color="566887"/>
          <w:left w:val="single" w:sz="6" w:space="0" w:color="566887"/>
          <w:bottom w:val="single" w:sz="6" w:space="0" w:color="566887"/>
          <w:right w:val="single" w:sz="6" w:space="0" w:color="56688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877"/>
        <w:gridCol w:w="1523"/>
        <w:gridCol w:w="1845"/>
        <w:gridCol w:w="1728"/>
        <w:gridCol w:w="1728"/>
      </w:tblGrid>
      <w:tr w:rsidR="00375AB0" w:rsidRPr="00375AB0" w:rsidTr="00375AB0">
        <w:trPr>
          <w:tblCellSpacing w:w="0" w:type="dxa"/>
        </w:trPr>
        <w:tc>
          <w:tcPr>
            <w:tcW w:w="855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7260" w:type="dxa"/>
            <w:gridSpan w:val="3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2019 год (очередной финансовый год)</w:t>
            </w:r>
            <w:hyperlink r:id="rId5" w:anchor="Par804" w:history="1">
              <w:r w:rsidRPr="00375AB0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2020 год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(1-й год планового периода)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2021год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(2-й год планового периода)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85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lastRenderedPageBreak/>
              <w:t>5.3.1.</w:t>
            </w:r>
          </w:p>
        </w:tc>
        <w:tc>
          <w:tcPr>
            <w:tcW w:w="441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Количество пациентов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243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120</w:t>
            </w:r>
          </w:p>
        </w:tc>
      </w:tr>
    </w:tbl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 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ru-RU"/>
        </w:rPr>
        <w:t>Показатели, характеризующие объем государственной работы: </w:t>
      </w: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 xml:space="preserve">«Обеспечение </w:t>
      </w:r>
      <w:proofErr w:type="gramStart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готовности  к</w:t>
      </w:r>
      <w:proofErr w:type="gramEnd"/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 xml:space="preserve"> своевременному и эффективному оказанию медицинской помощи, ликвидации эпидемических очагов при стихийных бедствиях, авариях, катастрофах и эпидемиях и ликвидация медико-санитарных последствий чрезвычайных ситуаций в Российской Федерации и за рубежом»</w:t>
      </w:r>
    </w:p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566887"/>
          <w:left w:val="single" w:sz="6" w:space="0" w:color="566887"/>
          <w:bottom w:val="single" w:sz="6" w:space="0" w:color="566887"/>
          <w:right w:val="single" w:sz="6" w:space="0" w:color="56688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930"/>
        <w:gridCol w:w="1515"/>
        <w:gridCol w:w="1832"/>
        <w:gridCol w:w="1713"/>
        <w:gridCol w:w="1713"/>
      </w:tblGrid>
      <w:tr w:rsidR="00375AB0" w:rsidRPr="00375AB0" w:rsidTr="00375AB0">
        <w:trPr>
          <w:tblCellSpacing w:w="0" w:type="dxa"/>
        </w:trPr>
        <w:tc>
          <w:tcPr>
            <w:tcW w:w="855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  <w:vMerge w:val="restart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7260" w:type="dxa"/>
            <w:gridSpan w:val="3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vAlign w:val="center"/>
            <w:hideMark/>
          </w:tcPr>
          <w:p w:rsidR="00375AB0" w:rsidRPr="00375AB0" w:rsidRDefault="00375AB0" w:rsidP="00375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2019 год (очередной финансовый год)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hyperlink r:id="rId6" w:anchor="Par804" w:history="1">
              <w:r w:rsidRPr="00375AB0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2020 год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(1-й год планового периода)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2021 год</w:t>
            </w:r>
          </w:p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b/>
                <w:bCs/>
                <w:color w:val="555555"/>
                <w:sz w:val="21"/>
                <w:szCs w:val="21"/>
                <w:lang w:eastAsia="ru-RU"/>
              </w:rPr>
              <w:t>(2-й год планового периода)</w:t>
            </w:r>
          </w:p>
        </w:tc>
      </w:tr>
      <w:tr w:rsidR="00375AB0" w:rsidRPr="00375AB0" w:rsidTr="00375AB0">
        <w:trPr>
          <w:tblCellSpacing w:w="0" w:type="dxa"/>
        </w:trPr>
        <w:tc>
          <w:tcPr>
            <w:tcW w:w="85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7.1.1.</w:t>
            </w:r>
          </w:p>
        </w:tc>
        <w:tc>
          <w:tcPr>
            <w:tcW w:w="441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Обеспечение готовности к своевременному и эффективному оказанию медицинской помощи, ликвидации эпидемических очагов при стихийных бедствиях, авариях, катастрофах и эпидемиях и ликвидация медико-санитарных последствий чрезвычайных ситуаций в Российской Федерации и за рубежом</w:t>
            </w:r>
          </w:p>
        </w:tc>
        <w:tc>
          <w:tcPr>
            <w:tcW w:w="189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отчет</w:t>
            </w:r>
          </w:p>
        </w:tc>
        <w:tc>
          <w:tcPr>
            <w:tcW w:w="2430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6" w:space="0" w:color="566887"/>
              <w:left w:val="single" w:sz="6" w:space="0" w:color="566887"/>
              <w:bottom w:val="single" w:sz="6" w:space="0" w:color="566887"/>
              <w:right w:val="single" w:sz="6" w:space="0" w:color="56688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AB0" w:rsidRPr="00375AB0" w:rsidRDefault="00375AB0" w:rsidP="00375AB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375AB0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12</w:t>
            </w:r>
          </w:p>
        </w:tc>
      </w:tr>
    </w:tbl>
    <w:p w:rsidR="00375AB0" w:rsidRPr="00375AB0" w:rsidRDefault="00375AB0" w:rsidP="00375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555555"/>
          <w:sz w:val="21"/>
          <w:szCs w:val="21"/>
          <w:lang w:eastAsia="ru-RU"/>
        </w:rPr>
      </w:pPr>
      <w:r w:rsidRPr="00375AB0">
        <w:rPr>
          <w:rFonts w:ascii="Calibri" w:eastAsia="Times New Roman" w:hAnsi="Calibri" w:cs="Calibri"/>
          <w:color w:val="555555"/>
          <w:sz w:val="21"/>
          <w:szCs w:val="21"/>
          <w:lang w:eastAsia="ru-RU"/>
        </w:rPr>
        <w:t> </w:t>
      </w:r>
    </w:p>
    <w:p w:rsidR="000E2070" w:rsidRDefault="000E2070">
      <w:bookmarkStart w:id="0" w:name="_GoBack"/>
      <w:bookmarkEnd w:id="0"/>
    </w:p>
    <w:sectPr w:rsidR="000E2070" w:rsidSect="0037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0E"/>
    <w:rsid w:val="0008180E"/>
    <w:rsid w:val="000E2070"/>
    <w:rsid w:val="003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E96D-128D-48C6-B4B3-4140DC6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5AB0"/>
    <w:rPr>
      <w:i/>
      <w:iCs/>
    </w:rPr>
  </w:style>
  <w:style w:type="character" w:styleId="a5">
    <w:name w:val="Strong"/>
    <w:basedOn w:val="a0"/>
    <w:uiPriority w:val="22"/>
    <w:qFormat/>
    <w:rsid w:val="00375AB0"/>
    <w:rPr>
      <w:b/>
      <w:bCs/>
    </w:rPr>
  </w:style>
  <w:style w:type="character" w:styleId="a6">
    <w:name w:val="Hyperlink"/>
    <w:basedOn w:val="a0"/>
    <w:uiPriority w:val="99"/>
    <w:semiHidden/>
    <w:unhideWhenUsed/>
    <w:rsid w:val="00375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3izh.ru/page/medical/" TargetMode="External"/><Relationship Id="rId5" Type="http://schemas.openxmlformats.org/officeDocument/2006/relationships/hyperlink" Target="http://03izh.ru/page/medical/" TargetMode="External"/><Relationship Id="rId4" Type="http://schemas.openxmlformats.org/officeDocument/2006/relationships/hyperlink" Target="http://03izh.ru/page/medic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2019-08-18T10:42:00Z</dcterms:created>
  <dcterms:modified xsi:type="dcterms:W3CDTF">2019-08-18T10:42:00Z</dcterms:modified>
</cp:coreProperties>
</file>