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A1" w:rsidRPr="00281AA1" w:rsidRDefault="00281AA1" w:rsidP="00281AA1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Регистратура. </w:t>
      </w:r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br/>
        <w:t xml:space="preserve">Осуществление предварительной, текущей и записи по телефону на прием к врачам, в </w:t>
      </w:r>
      <w:proofErr w:type="spellStart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т.ч</w:t>
      </w:r>
      <w:proofErr w:type="spellEnd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 xml:space="preserve">. вызовов на дом, работает в </w:t>
      </w:r>
      <w:proofErr w:type="gramStart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системе  «</w:t>
      </w:r>
      <w:proofErr w:type="gramEnd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электронной регистратуры».</w:t>
      </w:r>
    </w:p>
    <w:p w:rsidR="00281AA1" w:rsidRPr="00281AA1" w:rsidRDefault="00281AA1" w:rsidP="00281AA1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Кабинет заведующей женской консультацией. </w:t>
      </w:r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br/>
        <w:t xml:space="preserve">Осуществление приема и консультирования беременных женщин и гинекологических больных, проведение врачебных комиссий и экспертизы временной нетрудоспособности гинекологических больных и беременных, проведение анализа показателей деятельности женской консультации и </w:t>
      </w:r>
      <w:proofErr w:type="spellStart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д.р</w:t>
      </w:r>
      <w:proofErr w:type="spellEnd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.</w:t>
      </w:r>
    </w:p>
    <w:p w:rsidR="00281AA1" w:rsidRPr="00281AA1" w:rsidRDefault="00281AA1" w:rsidP="00281AA1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Первое и второе отделения с кабинетами врачей акушеров-гинекологов, где осуществляется прием беременных и гинекологических больных.</w:t>
      </w:r>
    </w:p>
    <w:p w:rsidR="00281AA1" w:rsidRPr="00281AA1" w:rsidRDefault="00281AA1" w:rsidP="00281AA1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Отделение УЗД. </w:t>
      </w:r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br/>
        <w:t xml:space="preserve">Проведение УЗИ-скрининга беременных, УЗ-исследований с </w:t>
      </w:r>
      <w:proofErr w:type="spellStart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доплерометрией</w:t>
      </w:r>
      <w:proofErr w:type="spellEnd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 xml:space="preserve"> беременных, УЗ-исследований гинекологических больных, КТГ плода.</w:t>
      </w:r>
    </w:p>
    <w:p w:rsidR="00281AA1" w:rsidRPr="00281AA1" w:rsidRDefault="00281AA1" w:rsidP="00281AA1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Дневной стационар. </w:t>
      </w:r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br/>
        <w:t>Дневной стационар предназначен для проведения профилактических, диагностических, лечебных и реабилитационных мероприятий больным, не требующим круглосуточного медицинского наблюдения, с применением медицинских технологий в соответствии со стандартами.</w:t>
      </w:r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br/>
        <w:t xml:space="preserve">Проведение обследования и лечения беременных с анемией легкой степени, ранним токсикозом, чрезмерное увеличение массы тела во время беременности без видимых отеков, профилактическое лечение по </w:t>
      </w:r>
      <w:proofErr w:type="spellStart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невынашиванию</w:t>
      </w:r>
      <w:proofErr w:type="spellEnd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 xml:space="preserve">, проведение неспецифической </w:t>
      </w:r>
      <w:proofErr w:type="spellStart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десенсибилизационной</w:t>
      </w:r>
      <w:proofErr w:type="spellEnd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 xml:space="preserve"> терапии при резус-отрицательной крови, хроническая </w:t>
      </w:r>
      <w:proofErr w:type="spellStart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фетоплацентарная</w:t>
      </w:r>
      <w:proofErr w:type="spellEnd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 xml:space="preserve"> недостаточность, хроническая внутриутробная гипоксия и гипотрофия плода, реабилитация послеоперационных больных, хронический сальпингит и оофорит, хронический эндометрит, хронический цервицит, </w:t>
      </w:r>
      <w:proofErr w:type="spellStart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эндоцервицит</w:t>
      </w:r>
      <w:proofErr w:type="spellEnd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 xml:space="preserve">, </w:t>
      </w:r>
      <w:proofErr w:type="spellStart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перетонеальные</w:t>
      </w:r>
      <w:proofErr w:type="spellEnd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 xml:space="preserve"> спайки, </w:t>
      </w:r>
      <w:proofErr w:type="spellStart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эндометриоз</w:t>
      </w:r>
      <w:proofErr w:type="spellEnd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 xml:space="preserve"> матки, яичников, маточных труб, нарушение менструальной функции, нейроэндокринные синдромы.</w:t>
      </w:r>
    </w:p>
    <w:p w:rsidR="00281AA1" w:rsidRPr="00281AA1" w:rsidRDefault="00281AA1" w:rsidP="00281AA1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Малая операционная. </w:t>
      </w:r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br/>
        <w:t xml:space="preserve">Проведение операций: мини-аборты, забор материала для биопсии, аспирация из полости матки для гистологических исследований, введение и удаление ВМС, ДЭК, </w:t>
      </w:r>
      <w:proofErr w:type="spellStart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полипэктомии</w:t>
      </w:r>
      <w:proofErr w:type="spellEnd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 xml:space="preserve">, радиоволновой терапии, </w:t>
      </w:r>
      <w:proofErr w:type="spellStart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гистероскопии</w:t>
      </w:r>
      <w:proofErr w:type="spellEnd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, раздельное диагностическое выскабливание.</w:t>
      </w:r>
    </w:p>
    <w:p w:rsidR="00281AA1" w:rsidRPr="00281AA1" w:rsidRDefault="00281AA1" w:rsidP="00281AA1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Физиотерапевтический кабинет. </w:t>
      </w:r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br/>
        <w:t>Проведение физиотерапевтического лечения беременных и гинекологических больных по показаниям после консультации врача-физиотерапевта.</w:t>
      </w:r>
    </w:p>
    <w:p w:rsidR="00281AA1" w:rsidRPr="00281AA1" w:rsidRDefault="00281AA1" w:rsidP="00281AA1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Клинико-диагностическая лаборатория. </w:t>
      </w:r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br/>
        <w:t>Осуществление общеклинических, биохимических, гематологических, иммунологических и других исследований беременным и гинекологическим больным.</w:t>
      </w:r>
    </w:p>
    <w:p w:rsidR="00281AA1" w:rsidRPr="00281AA1" w:rsidRDefault="00281AA1" w:rsidP="00281AA1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Зал психопрофилактической подготовки к родам. </w:t>
      </w:r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br/>
        <w:t xml:space="preserve">Проведение занятий с беременными по подготовке к родам </w:t>
      </w:r>
      <w:proofErr w:type="gramStart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в  «</w:t>
      </w:r>
      <w:proofErr w:type="gramEnd"/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Школе беременных».</w:t>
      </w:r>
    </w:p>
    <w:p w:rsidR="00281AA1" w:rsidRPr="00281AA1" w:rsidRDefault="00281AA1" w:rsidP="00281AA1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Кабинет медицинского психолога. </w:t>
      </w:r>
      <w:r w:rsidRPr="00281AA1">
        <w:rPr>
          <w:rFonts w:ascii="Arial" w:eastAsia="Times New Roman" w:hAnsi="Arial" w:cs="Arial"/>
          <w:color w:val="3D393B"/>
          <w:sz w:val="24"/>
          <w:szCs w:val="24"/>
          <w:lang w:eastAsia="ru-RU"/>
        </w:rPr>
        <w:br/>
        <w:t>Консультирование беременных из социально-неблагополучных групп и проведение психологической коррекции.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D4549"/>
    <w:multiLevelType w:val="multilevel"/>
    <w:tmpl w:val="9C30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D0"/>
    <w:rsid w:val="00281AA1"/>
    <w:rsid w:val="00A12592"/>
    <w:rsid w:val="00B3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14A92-6D4A-4C29-90B6-5A6C0D43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2019-10-07T12:17:00Z</dcterms:created>
  <dcterms:modified xsi:type="dcterms:W3CDTF">2019-10-07T12:17:00Z</dcterms:modified>
</cp:coreProperties>
</file>