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1A" w:rsidRPr="00C8081A" w:rsidRDefault="00C8081A" w:rsidP="00C8081A">
      <w:pPr>
        <w:shd w:val="clear" w:color="auto" w:fill="FAFBF1"/>
        <w:spacing w:after="0" w:line="294" w:lineRule="atLeast"/>
        <w:jc w:val="center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br/>
        <w:t>Диагностические исследования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jc w:val="center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i/>
          <w:iCs/>
          <w:color w:val="670201"/>
          <w:sz w:val="21"/>
          <w:szCs w:val="21"/>
          <w:lang w:eastAsia="ru-RU"/>
        </w:rPr>
        <w:t>1.</w:t>
      </w:r>
      <w:r w:rsidRPr="00C8081A">
        <w:rPr>
          <w:rFonts w:ascii="Arial" w:eastAsia="Times New Roman" w:hAnsi="Arial" w:cs="Arial"/>
          <w:i/>
          <w:iCs/>
          <w:color w:val="670201"/>
          <w:sz w:val="21"/>
          <w:szCs w:val="21"/>
          <w:lang w:eastAsia="ru-RU"/>
        </w:rPr>
        <w:tab/>
        <w:t>Клинико-диагностическая лаборатория:</w:t>
      </w:r>
    </w:p>
    <w:p w:rsidR="00C8081A" w:rsidRPr="00C8081A" w:rsidRDefault="00C8081A" w:rsidP="00C8081A">
      <w:pPr>
        <w:numPr>
          <w:ilvl w:val="0"/>
          <w:numId w:val="1"/>
        </w:numPr>
        <w:shd w:val="clear" w:color="auto" w:fill="FAFBF1"/>
        <w:spacing w:before="135" w:after="135" w:line="294" w:lineRule="atLeast"/>
        <w:ind w:left="525" w:right="150" w:firstLine="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общеклинические исследования (общий анализ крови, свертываемость, время кровотечения, анализ мочи, кала, желчи, секрет простаты)</w:t>
      </w:r>
    </w:p>
    <w:p w:rsidR="00C8081A" w:rsidRPr="00C8081A" w:rsidRDefault="00C8081A" w:rsidP="00C8081A">
      <w:pPr>
        <w:numPr>
          <w:ilvl w:val="0"/>
          <w:numId w:val="1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биохимические исследования:</w:t>
      </w:r>
    </w:p>
    <w:p w:rsidR="00C8081A" w:rsidRPr="00C8081A" w:rsidRDefault="00C8081A" w:rsidP="00C8081A">
      <w:pPr>
        <w:shd w:val="clear" w:color="auto" w:fill="FAFBF1"/>
        <w:spacing w:before="135" w:after="135" w:line="294" w:lineRule="atLeast"/>
        <w:ind w:left="525" w:right="15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- общий белок, белковые фракции (белковые фракции, СРБ, мочевина, </w:t>
      </w: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креатинин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, мочевая кислота)</w:t>
      </w:r>
    </w:p>
    <w:p w:rsidR="00C8081A" w:rsidRPr="00C8081A" w:rsidRDefault="00C8081A" w:rsidP="00C8081A">
      <w:pPr>
        <w:shd w:val="clear" w:color="auto" w:fill="FAFBF1"/>
        <w:spacing w:before="135" w:after="135" w:line="294" w:lineRule="atLeast"/>
        <w:ind w:left="525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- ферменты ((</w:t>
      </w: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аминотрансферазы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, амилаза, гамма- </w:t>
      </w: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глютамилтрансфераза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, </w:t>
      </w: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креатининкиназа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)</w:t>
      </w:r>
    </w:p>
    <w:p w:rsidR="00C8081A" w:rsidRPr="00C8081A" w:rsidRDefault="00C8081A" w:rsidP="00C8081A">
      <w:pPr>
        <w:shd w:val="clear" w:color="auto" w:fill="FAFBF1"/>
        <w:spacing w:before="135" w:after="135" w:line="294" w:lineRule="atLeast"/>
        <w:ind w:left="525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- углеводы (глюкоза, </w:t>
      </w: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сиаловые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кислоты)</w:t>
      </w:r>
    </w:p>
    <w:p w:rsidR="00C8081A" w:rsidRPr="00C8081A" w:rsidRDefault="00C8081A" w:rsidP="00C8081A">
      <w:pPr>
        <w:shd w:val="clear" w:color="auto" w:fill="FAFBF1"/>
        <w:spacing w:before="135" w:after="135" w:line="294" w:lineRule="atLeast"/>
        <w:ind w:left="525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- липиды и липопротеины (холестерин, фосфолипиды, триглицериды, индекс </w:t>
      </w: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атерогенности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)</w:t>
      </w:r>
    </w:p>
    <w:p w:rsidR="00C8081A" w:rsidRPr="00C8081A" w:rsidRDefault="00C8081A" w:rsidP="00C8081A">
      <w:pPr>
        <w:shd w:val="clear" w:color="auto" w:fill="FAFBF1"/>
        <w:spacing w:before="135" w:after="135" w:line="294" w:lineRule="atLeast"/>
        <w:ind w:left="525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- пигментный обмен (билирубин и его производные)</w:t>
      </w:r>
    </w:p>
    <w:p w:rsidR="00C8081A" w:rsidRPr="00C8081A" w:rsidRDefault="00C8081A" w:rsidP="00C8081A">
      <w:pPr>
        <w:shd w:val="clear" w:color="auto" w:fill="FAFBF1"/>
        <w:spacing w:before="135" w:after="135" w:line="294" w:lineRule="atLeast"/>
        <w:ind w:left="525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- электролиты плазмы (калий, натрий, железо, </w:t>
      </w:r>
      <w:proofErr w:type="spellStart"/>
      <w:proofErr w:type="gram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кальций,ОЖСС</w:t>
      </w:r>
      <w:proofErr w:type="spellEnd"/>
      <w:proofErr w:type="gram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)</w:t>
      </w:r>
    </w:p>
    <w:p w:rsidR="00C8081A" w:rsidRPr="00C8081A" w:rsidRDefault="00C8081A" w:rsidP="00C8081A">
      <w:pPr>
        <w:shd w:val="clear" w:color="auto" w:fill="FAFBF1"/>
        <w:spacing w:before="135" w:after="135" w:line="294" w:lineRule="atLeast"/>
        <w:ind w:left="525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- РПГА, МРП на сифилис</w:t>
      </w:r>
    </w:p>
    <w:p w:rsidR="00C8081A" w:rsidRPr="00C8081A" w:rsidRDefault="00C8081A" w:rsidP="00C8081A">
      <w:pPr>
        <w:shd w:val="clear" w:color="auto" w:fill="FAFBF1"/>
        <w:spacing w:before="135" w:after="135" w:line="294" w:lineRule="atLeast"/>
        <w:ind w:left="525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 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525" w:right="150"/>
        <w:jc w:val="center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2.</w:t>
      </w: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ab/>
      </w:r>
      <w:r w:rsidRPr="00C8081A">
        <w:rPr>
          <w:rFonts w:ascii="Arial" w:eastAsia="Times New Roman" w:hAnsi="Arial" w:cs="Arial"/>
          <w:i/>
          <w:iCs/>
          <w:color w:val="670201"/>
          <w:sz w:val="21"/>
          <w:szCs w:val="21"/>
          <w:lang w:eastAsia="ru-RU"/>
        </w:rPr>
        <w:t>Функциональная диагностика:</w:t>
      </w:r>
    </w:p>
    <w:p w:rsidR="00C8081A" w:rsidRPr="00C8081A" w:rsidRDefault="00C8081A" w:rsidP="00C8081A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Электрокардиография (ЭКГ)</w:t>
      </w:r>
    </w:p>
    <w:p w:rsidR="00C8081A" w:rsidRPr="00C8081A" w:rsidRDefault="00C8081A" w:rsidP="00C8081A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Кардиоинтервалография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(КИГ)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C8081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Кардиоинтервалография</w:t>
      </w:r>
      <w:proofErr w:type="spellEnd"/>
      <w:r w:rsidRPr="00C8081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(КИГ)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  <w:r w:rsidRPr="00C8081A">
        <w:rPr>
          <w:rFonts w:ascii="Arial" w:eastAsia="Times New Roman" w:hAnsi="Arial" w:cs="Arial"/>
          <w:i/>
          <w:iCs/>
          <w:color w:val="000080"/>
          <w:sz w:val="21"/>
          <w:szCs w:val="21"/>
          <w:lang w:eastAsia="ru-RU"/>
        </w:rPr>
        <w:t>- метод оценки вегетативного баланса организма путем анализа изменений ритма сердца.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Данный метод дает представление об адекватности реакции организма, степени его компенсации, работе вегетативной нервной системы (ВНС), которая отвечает за регуляцию в организме всех внутренних органов и систем, а также обеспечивает адекватную реакцию организма на постоянно меняющиеся условия внешней среды. Наличие сбоев в работе ВНС приводит к вегетативной дисфункции.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Метод КИГ позволяет выявить сбои в работе вегетативной нервной системы, определить характер изменений и подобрать адекватную терапию.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i/>
          <w:iCs/>
          <w:color w:val="000080"/>
          <w:sz w:val="21"/>
          <w:szCs w:val="21"/>
          <w:u w:val="single"/>
          <w:lang w:eastAsia="ru-RU"/>
        </w:rPr>
        <w:t>Показания к проведению</w:t>
      </w:r>
      <w:r w:rsidRPr="00C8081A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u w:val="single"/>
          <w:lang w:eastAsia="ru-RU"/>
        </w:rPr>
        <w:t> КИГ: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наличие проявлений </w:t>
      </w:r>
      <w:proofErr w:type="gramStart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вегето-сосудистая</w:t>
      </w:r>
      <w:proofErr w:type="gramEnd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дистония у детей и взрослых (сбои в работе и дискинезии желудочно-кишечного тракта, боли в области сердца, метеозависимость, повышенная потливость, лабильность АД и пульса, слабость, быстрая утомляемость),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оценка адекватности физических и эмоциональных нагрузок,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аллергические заболевания,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язвенная болезнь желудка,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дискинезии желудочно-кишечного тракта,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функциональные </w:t>
      </w:r>
      <w:proofErr w:type="spellStart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кардиопатии</w:t>
      </w:r>
      <w:proofErr w:type="spellEnd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,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0"/>
          <w:szCs w:val="20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контроль эффективности проводимого лечения.</w:t>
      </w:r>
    </w:p>
    <w:p w:rsidR="00C8081A" w:rsidRPr="00C8081A" w:rsidRDefault="00C8081A" w:rsidP="00C8081A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Реоэнцефалограцфия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(РЭГ)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proofErr w:type="gramStart"/>
      <w:r w:rsidRPr="00C8081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Реоэнцефалография</w:t>
      </w:r>
      <w:proofErr w:type="spellEnd"/>
      <w:r w:rsidRPr="00C8081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 (</w:t>
      </w:r>
      <w:proofErr w:type="gramEnd"/>
      <w:r w:rsidRPr="00C8081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РЭГ)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 - это метод исследования кровенаполнения артерий и вен головы и шеи, который позволяет оценить различные параметры пульсового кровотока в артериях 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lastRenderedPageBreak/>
        <w:t xml:space="preserve">головного мозга и исследовать состояние венозного оттока из полости черепа. РЭГ применяется для диагностики сосудистой патологии, определения степени </w:t>
      </w:r>
      <w:proofErr w:type="spellStart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гипертензионного</w:t>
      </w:r>
      <w:proofErr w:type="spellEnd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синдрома, изучения возможностей коллатерального кровообращения и оценки кровообращения головного мозга после перенесенных инсультов, травм и операций.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При помощи </w:t>
      </w:r>
      <w:proofErr w:type="spellStart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реоэнцефалографии</w:t>
      </w:r>
      <w:proofErr w:type="spellEnd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возможно диагностирование практически всего спектра заболеваний, в основе которых лежит нарушение мозгового кровообращения: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атеросклероз сосудов головного мозга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тромбоз сосудов головного мозга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hyperlink r:id="rId5" w:history="1">
        <w:r w:rsidRPr="00C8081A">
          <w:rPr>
            <w:rFonts w:ascii="Arial" w:eastAsia="Times New Roman" w:hAnsi="Arial" w:cs="Arial"/>
            <w:color w:val="009999"/>
            <w:sz w:val="21"/>
            <w:szCs w:val="21"/>
            <w:u w:val="single"/>
            <w:bdr w:val="none" w:sz="0" w:space="0" w:color="auto" w:frame="1"/>
            <w:lang w:eastAsia="ru-RU"/>
          </w:rPr>
          <w:t>инсульт</w:t>
        </w:r>
      </w:hyperlink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  <w:proofErr w:type="spellStart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неморрагический</w:t>
      </w:r>
      <w:proofErr w:type="spellEnd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и ишемический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hyperlink r:id="rId6" w:history="1">
        <w:r w:rsidRPr="00C8081A">
          <w:rPr>
            <w:rFonts w:ascii="Arial" w:eastAsia="Times New Roman" w:hAnsi="Arial" w:cs="Arial"/>
            <w:color w:val="009999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синдром дефицита внимания с </w:t>
        </w:r>
        <w:proofErr w:type="spellStart"/>
        <w:r w:rsidRPr="00C8081A">
          <w:rPr>
            <w:rFonts w:ascii="Arial" w:eastAsia="Times New Roman" w:hAnsi="Arial" w:cs="Arial"/>
            <w:color w:val="009999"/>
            <w:sz w:val="21"/>
            <w:szCs w:val="21"/>
            <w:u w:val="single"/>
            <w:bdr w:val="none" w:sz="0" w:space="0" w:color="auto" w:frame="1"/>
            <w:lang w:eastAsia="ru-RU"/>
          </w:rPr>
          <w:t>гиперактивностью</w:t>
        </w:r>
        <w:proofErr w:type="spellEnd"/>
      </w:hyperlink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hyperlink r:id="rId7" w:history="1">
        <w:r w:rsidRPr="00C8081A">
          <w:rPr>
            <w:rFonts w:ascii="Arial" w:eastAsia="Times New Roman" w:hAnsi="Arial" w:cs="Arial"/>
            <w:color w:val="009999"/>
            <w:sz w:val="21"/>
            <w:szCs w:val="21"/>
            <w:u w:val="single"/>
            <w:bdr w:val="none" w:sz="0" w:space="0" w:color="auto" w:frame="1"/>
            <w:lang w:eastAsia="ru-RU"/>
          </w:rPr>
          <w:t>остеохондрозе и радикулите</w:t>
        </w:r>
      </w:hyperlink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hyperlink r:id="rId8" w:history="1">
        <w:r w:rsidRPr="00C8081A">
          <w:rPr>
            <w:rFonts w:ascii="Arial" w:eastAsia="Times New Roman" w:hAnsi="Arial" w:cs="Arial"/>
            <w:color w:val="009999"/>
            <w:sz w:val="21"/>
            <w:szCs w:val="21"/>
            <w:u w:val="single"/>
            <w:bdr w:val="none" w:sz="0" w:space="0" w:color="auto" w:frame="1"/>
            <w:lang w:eastAsia="ru-RU"/>
          </w:rPr>
          <w:t>вегето-сосудистая дистония</w:t>
        </w:r>
      </w:hyperlink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 и </w:t>
      </w:r>
      <w:proofErr w:type="spellStart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др</w:t>
      </w:r>
      <w:proofErr w:type="spellEnd"/>
    </w:p>
    <w:p w:rsidR="00C8081A" w:rsidRPr="00C8081A" w:rsidRDefault="00C8081A" w:rsidP="00C8081A">
      <w:pPr>
        <w:numPr>
          <w:ilvl w:val="0"/>
          <w:numId w:val="4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Функции внешнего дыхания (ФВД)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Исследование функций внешнего дыхания (ФВД)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Спирометрическое обследование показано детям и взрослым, страдающим различными нарушениями функции дыхательной системы (частые бронхиты, в первую очередь </w:t>
      </w:r>
      <w:proofErr w:type="spellStart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обструктивные</w:t>
      </w:r>
      <w:proofErr w:type="spellEnd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, эмфиземы легочной ткани, хронические неспецифические заболевания легких, пневмонии, трахеиты и ларинготрахеиты, аллергические, инфекционно-аллергические и вазомоторные риниты, поражения диафрагмы). Принципиально важно проведение данного исследования в группах пациентов, имеющих предрасположенность (угрозу) развития бронхиальной астмы для более раннего выявления этого заболевания, соответственно и более раннего и адекватного назначения необходимой схемы лечения. Возможно проведение данного исследования у здоровых людей - спортсменов с целью определения переносимости физических нагрузок и изучения вентиляционных способностей дыхательной системы.</w:t>
      </w:r>
    </w:p>
    <w:p w:rsidR="00C8081A" w:rsidRPr="00C8081A" w:rsidRDefault="00C8081A" w:rsidP="00C8081A">
      <w:pPr>
        <w:numPr>
          <w:ilvl w:val="0"/>
          <w:numId w:val="5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Суточное </w:t>
      </w: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мониторирования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АД (СМАД)</w:t>
      </w:r>
    </w:p>
    <w:p w:rsidR="00C8081A" w:rsidRPr="00C8081A" w:rsidRDefault="00C8081A" w:rsidP="00C8081A">
      <w:pPr>
        <w:numPr>
          <w:ilvl w:val="0"/>
          <w:numId w:val="5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Реовазография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конечностей (РВГ)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C8081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Реовазография</w:t>
      </w:r>
      <w:proofErr w:type="spellEnd"/>
      <w:r w:rsidRPr="00C8081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(РВГ)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– метод диагностики состояния сосудов конечностей, оценки движения крови в них. Это современный </w:t>
      </w:r>
      <w:proofErr w:type="spellStart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неинвазивный</w:t>
      </w:r>
      <w:proofErr w:type="spellEnd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метод исследования динамики пульсового кровенаполнения органов и тканей или отдельных участков тела. В компьютерном варианте РВГ позволяет автоматически распознавать разновидности магистрального и коллатерального кровотока, определять уровень артериальной окклюзии, диагностировать нарушения венозного оттока. Проведение различных функциональных и фармакологических проб дает возможность выявить скрытую патологию системы кровообращения. Этот метод является чрезвычайно ценным при исследовании заболеваний периферических артерий, сопровождающихся частичным сужением или полной </w:t>
      </w:r>
      <w:proofErr w:type="spellStart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обтурацией</w:t>
      </w:r>
      <w:proofErr w:type="spellEnd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сосуда. По результатам данного исследования можно судить о нарушении кровообращения, чаще всего обусловленном атеросклеротическими или воспалительными поражениями сосудов.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Проведение РВГ необходимо при жалобах на онемение, похолодание в руках и ногах, ощущение судорог и при таких заболеваниях, как: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атеросклероз;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синдром </w:t>
      </w:r>
      <w:proofErr w:type="spellStart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Рейно</w:t>
      </w:r>
      <w:proofErr w:type="spellEnd"/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;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периферическая вегетативная недостаточность.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облитерирующий эндартериит;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варикозное расширение вен;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нарушение периферического кровообращения при сахарном диабете;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Wingdings" w:eastAsia="Times New Roman" w:hAnsi="Wingdings" w:cs="Arial"/>
          <w:color w:val="000080"/>
          <w:sz w:val="21"/>
          <w:szCs w:val="21"/>
          <w:lang w:eastAsia="ru-RU"/>
        </w:rPr>
        <w:t></w:t>
      </w:r>
      <w:r w:rsidRPr="00C8081A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</w:t>
      </w:r>
      <w:r w:rsidRPr="00C8081A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тромбофлебит.</w:t>
      </w:r>
    </w:p>
    <w:p w:rsidR="00C8081A" w:rsidRPr="00C8081A" w:rsidRDefault="00C8081A" w:rsidP="00C8081A">
      <w:pPr>
        <w:shd w:val="clear" w:color="auto" w:fill="FAFBF1"/>
        <w:spacing w:before="135" w:after="135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lastRenderedPageBreak/>
        <w:t> </w:t>
      </w:r>
    </w:p>
    <w:p w:rsidR="00C8081A" w:rsidRPr="00C8081A" w:rsidRDefault="00C8081A" w:rsidP="00C8081A">
      <w:pPr>
        <w:shd w:val="clear" w:color="auto" w:fill="FAFBF1"/>
        <w:spacing w:after="0" w:line="294" w:lineRule="atLeast"/>
        <w:ind w:left="720" w:hanging="36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i/>
          <w:iCs/>
          <w:color w:val="670201"/>
          <w:sz w:val="21"/>
          <w:szCs w:val="21"/>
          <w:lang w:eastAsia="ru-RU"/>
        </w:rPr>
        <w:tab/>
      </w:r>
      <w:r w:rsidRPr="00C8081A">
        <w:rPr>
          <w:rFonts w:ascii="Arial" w:eastAsia="Times New Roman" w:hAnsi="Arial" w:cs="Arial"/>
          <w:i/>
          <w:iCs/>
          <w:color w:val="670201"/>
          <w:sz w:val="21"/>
          <w:szCs w:val="21"/>
          <w:lang w:eastAsia="ru-RU"/>
        </w:rPr>
        <w:tab/>
      </w:r>
      <w:r w:rsidRPr="00C8081A">
        <w:rPr>
          <w:rFonts w:ascii="Arial" w:eastAsia="Times New Roman" w:hAnsi="Arial" w:cs="Arial"/>
          <w:i/>
          <w:iCs/>
          <w:color w:val="670201"/>
          <w:sz w:val="21"/>
          <w:szCs w:val="21"/>
          <w:lang w:eastAsia="ru-RU"/>
        </w:rPr>
        <w:tab/>
      </w:r>
      <w:r w:rsidRPr="00C8081A">
        <w:rPr>
          <w:rFonts w:ascii="Arial" w:eastAsia="Times New Roman" w:hAnsi="Arial" w:cs="Arial"/>
          <w:i/>
          <w:iCs/>
          <w:color w:val="670201"/>
          <w:sz w:val="21"/>
          <w:szCs w:val="21"/>
          <w:lang w:eastAsia="ru-RU"/>
        </w:rPr>
        <w:tab/>
        <w:t>3.</w:t>
      </w:r>
      <w:r w:rsidRPr="00C8081A">
        <w:rPr>
          <w:rFonts w:ascii="Arial" w:eastAsia="Times New Roman" w:hAnsi="Arial" w:cs="Arial"/>
          <w:i/>
          <w:iCs/>
          <w:color w:val="670201"/>
          <w:sz w:val="21"/>
          <w:szCs w:val="21"/>
          <w:lang w:eastAsia="ru-RU"/>
        </w:rPr>
        <w:tab/>
        <w:t>Ультразвуковые исследования:</w:t>
      </w:r>
    </w:p>
    <w:p w:rsidR="00C8081A" w:rsidRPr="00C8081A" w:rsidRDefault="00C8081A" w:rsidP="00C8081A">
      <w:pPr>
        <w:numPr>
          <w:ilvl w:val="0"/>
          <w:numId w:val="6"/>
        </w:numPr>
        <w:shd w:val="clear" w:color="auto" w:fill="FAFBF1"/>
        <w:spacing w:before="135" w:after="135" w:line="294" w:lineRule="atLeast"/>
        <w:ind w:left="525" w:right="150" w:firstLine="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внутренних и наружных органов (печень, желчный пузырь, поджелудочная железа; почки, надпочечники; матка и придатки, молочные железы; предстательная железа и яички; слюнные железы; щитовидная железа, мочевой пузырь с определением остаточной мочи, сердце, коленные суставы)</w:t>
      </w:r>
    </w:p>
    <w:p w:rsidR="00C8081A" w:rsidRPr="00C8081A" w:rsidRDefault="00C8081A" w:rsidP="00C8081A">
      <w:pPr>
        <w:numPr>
          <w:ilvl w:val="0"/>
          <w:numId w:val="6"/>
        </w:numPr>
        <w:shd w:val="clear" w:color="auto" w:fill="FAFBF1"/>
        <w:spacing w:before="135" w:after="135" w:line="294" w:lineRule="atLeast"/>
        <w:ind w:left="525" w:right="150" w:firstLine="0"/>
        <w:jc w:val="both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ультразвуковая </w:t>
      </w:r>
      <w:proofErr w:type="spellStart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доплерография</w:t>
      </w:r>
      <w:proofErr w:type="spellEnd"/>
      <w:r w:rsidRPr="00C8081A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сосудов (вен нижних и верхних конечностей, артерий нижних и верхних конечностей, сонных и позвоночных артерий, брюшного отдела аорты, почечных артерий)</w:t>
      </w:r>
    </w:p>
    <w:p w:rsidR="00080408" w:rsidRDefault="00080408">
      <w:bookmarkStart w:id="0" w:name="_GoBack"/>
      <w:bookmarkEnd w:id="0"/>
    </w:p>
    <w:sectPr w:rsidR="000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166"/>
    <w:multiLevelType w:val="multilevel"/>
    <w:tmpl w:val="4FC2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E0A70"/>
    <w:multiLevelType w:val="multilevel"/>
    <w:tmpl w:val="3DC6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55B9F"/>
    <w:multiLevelType w:val="multilevel"/>
    <w:tmpl w:val="4612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51EF8"/>
    <w:multiLevelType w:val="multilevel"/>
    <w:tmpl w:val="B41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D6086"/>
    <w:multiLevelType w:val="multilevel"/>
    <w:tmpl w:val="A53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948BE"/>
    <w:multiLevelType w:val="multilevel"/>
    <w:tmpl w:val="CD06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4"/>
    <w:rsid w:val="00080408"/>
    <w:rsid w:val="00223DD4"/>
    <w:rsid w:val="00C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2C074-3B2F-4877-8856-DD93ED7D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81A"/>
    <w:rPr>
      <w:b/>
      <w:bCs/>
    </w:rPr>
  </w:style>
  <w:style w:type="character" w:styleId="a5">
    <w:name w:val="Emphasis"/>
    <w:basedOn w:val="a0"/>
    <w:uiPriority w:val="20"/>
    <w:qFormat/>
    <w:rsid w:val="00C8081A"/>
    <w:rPr>
      <w:i/>
      <w:iCs/>
    </w:rPr>
  </w:style>
  <w:style w:type="character" w:customStyle="1" w:styleId="apple-tab-span">
    <w:name w:val="apple-tab-span"/>
    <w:basedOn w:val="a0"/>
    <w:rsid w:val="00C8081A"/>
  </w:style>
  <w:style w:type="character" w:styleId="a6">
    <w:name w:val="Hyperlink"/>
    <w:basedOn w:val="a0"/>
    <w:uiPriority w:val="99"/>
    <w:semiHidden/>
    <w:unhideWhenUsed/>
    <w:rsid w:val="00C80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neuro.ru/vegetativnaya-vegetososudistaya-distoniya-vegeto-sosudistaya-myshechnaya-lechenie-simptomy-u-detej-priznaki-metody-narodnye-sredstva-armiya-gipertonicheskaya-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neuro.ru/osteoxondroz-pozvonochnika-radikulit-lechenie-metody-simptomy-poyasnichnyj-otdel-shejnyj-grudnoj-narodnye-sredstva-domashnie-usloviya-medikamentoznoe-ostryj-sposoby-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neuro.ru/deficita-vnimaniya-s-giperaktivnostyu-cindrom-giperaktivnosti-s-deficitom-vnimaniya-klinika-vosstanovitelnoj-nevrologii-lechenie-insulta-vrach-nevrolog-diagnostika-mozga-osteoxondroz-83.html" TargetMode="External"/><Relationship Id="rId5" Type="http://schemas.openxmlformats.org/officeDocument/2006/relationships/hyperlink" Target="http://www.newneuro.ru/mikro-insult-mikroinsult-ishemicheskij-posledstviya-reabilitaciya-vosstanovlenie-priznaki-centr-gemorragicheskij-lechenie-narodnye-sredstva-metody-sosudistye-zabolevaniya-golovnogo-mozga-3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2019-09-16T09:05:00Z</dcterms:created>
  <dcterms:modified xsi:type="dcterms:W3CDTF">2019-09-16T09:05:00Z</dcterms:modified>
</cp:coreProperties>
</file>