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1"/>
        <w:rPr>
          <w:rFonts w:ascii="Helvetica" w:eastAsia="Times New Roman" w:hAnsi="Helvetica" w:cs="Times New Roman"/>
          <w:color w:val="2C3E50"/>
          <w:sz w:val="48"/>
          <w:szCs w:val="48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48"/>
          <w:szCs w:val="48"/>
          <w:lang w:eastAsia="ru-RU"/>
        </w:rPr>
        <w:t>Тарифы на социальные услуги, предоставляемые поставщиками социальных услуг в стационарной форме для совершеннолетних получателей</w:t>
      </w:r>
    </w:p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1. Социально-бытовые услуги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0349"/>
        <w:gridCol w:w="1515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80,38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Обеспечение питанием согласно нормативам, утвержденным </w:t>
            </w:r>
            <w:hyperlink r:id="rId4" w:history="1">
              <w:r w:rsidRPr="001547E3">
                <w:rPr>
                  <w:rFonts w:ascii="Helvetica" w:eastAsia="Times New Roman" w:hAnsi="Helvetica" w:cs="Times New Roman"/>
                  <w:color w:val="18BC9C"/>
                  <w:sz w:val="27"/>
                  <w:szCs w:val="27"/>
                  <w:u w:val="single"/>
                  <w:lang w:eastAsia="ru-RU"/>
                </w:rPr>
                <w:t>Постановлением министерства социальной защиты населения Рязанской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180,0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25,20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100,10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30,22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Отправка за счет средств получателя социальных услуг почтовой корреспонденции (написание писем под диктовку)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16,18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Отправка за счет средств получателя социальных услуг почтовой корреспонденции (прочтение писем вслух)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16,18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Отправка за счет средств получателя социальных услуг почтовой корреспонденции (доставка письма на почту или в почтовый ящик)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16,18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Обеспечение сохранности личных вещей и ценностей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6,73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Помощь в приеме пищи (кормление)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81,58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6,51 (в день)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Организация ритуальных услуг (при отсутствии у умерших клиентов родственников или их нежелании заняться погребением)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436,95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2,07 (в день)</w:t>
            </w:r>
          </w:p>
        </w:tc>
      </w:tr>
    </w:tbl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2. Социально-медицинские услуги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948"/>
        <w:gridCol w:w="1066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 xml:space="preserve">Содействие в получении медицинской помощи в объеме базовой программы обязательного медицинского страхования граждан Российской Федерации, целевых </w:t>
            </w: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программ и территориальных программ обязательного медицинского страхования в медицинских учреждениях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102,39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97,10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Содействие в проведении оздоровительных мероприятий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19,10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Содействие в получении бесплатной протезно-ортопедической помощи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145,65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135,95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Организация ухода за получателями социальных услуг, нуждающимися в нем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288,02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144,54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Выполнение медицинских процедур, связанных с сохранением здоровья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69,88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Систематическое медицинское наблюдение, в том числе оказание содействия в организации медицинского наблюдения за получателями социальных услуг для выявления отклонений в состоянии здоровья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107,43</w:t>
            </w:r>
          </w:p>
        </w:tc>
      </w:tr>
    </w:tbl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3. Социально-психологические услуги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948"/>
        <w:gridCol w:w="1066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Оказание психологической помощи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156,24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Психологическая коррекция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162,44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21,52</w:t>
            </w:r>
          </w:p>
        </w:tc>
      </w:tr>
    </w:tbl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4. Социально-педагогические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948"/>
        <w:gridCol w:w="1066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24,29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220,41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Организация досуга и отдыха, в том числе обеспечение книгами, газетами, настольными играми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9,44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80,21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55,50</w:t>
            </w:r>
          </w:p>
        </w:tc>
      </w:tr>
    </w:tbl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5. Социально-трудовые услуги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1098"/>
        <w:gridCol w:w="916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Содействие в проведении мероприятий по использованию остаточных трудовых возможностей и обучение доступным профессиональным навыкам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20,55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Содействие в трудоустройстве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72,27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66,81</w:t>
            </w:r>
          </w:p>
        </w:tc>
      </w:tr>
    </w:tbl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6. Социально-правовые услуги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948"/>
        <w:gridCol w:w="1066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634,76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Оказание помощи в получении юридических услуг, в том числе бесплатных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72,27</w:t>
            </w:r>
          </w:p>
        </w:tc>
      </w:tr>
    </w:tbl>
    <w:p w:rsidR="001547E3" w:rsidRPr="001547E3" w:rsidRDefault="001547E3" w:rsidP="001547E3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39"/>
          <w:szCs w:val="39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948"/>
        <w:gridCol w:w="1066"/>
      </w:tblGrid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360,68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36,14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20,11</w:t>
            </w:r>
          </w:p>
        </w:tc>
      </w:tr>
      <w:tr w:rsidR="001547E3" w:rsidRPr="001547E3" w:rsidTr="001547E3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7E3" w:rsidRPr="001547E3" w:rsidRDefault="001547E3" w:rsidP="001547E3">
            <w:pPr>
              <w:spacing w:after="315" w:line="240" w:lineRule="auto"/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</w:pPr>
            <w:r w:rsidRPr="001547E3">
              <w:rPr>
                <w:rFonts w:ascii="Helvetica" w:eastAsia="Times New Roman" w:hAnsi="Helvetica" w:cs="Times New Roman"/>
                <w:color w:val="2C3E50"/>
                <w:sz w:val="27"/>
                <w:szCs w:val="27"/>
                <w:lang w:eastAsia="ru-RU"/>
              </w:rPr>
              <w:t>35,83</w:t>
            </w:r>
          </w:p>
        </w:tc>
      </w:tr>
    </w:tbl>
    <w:p w:rsidR="001547E3" w:rsidRPr="001547E3" w:rsidRDefault="001547E3" w:rsidP="001547E3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2C3E50"/>
          <w:sz w:val="27"/>
          <w:szCs w:val="27"/>
          <w:lang w:eastAsia="ru-RU"/>
        </w:rPr>
      </w:pPr>
      <w:r w:rsidRPr="001547E3">
        <w:rPr>
          <w:rFonts w:ascii="Helvetica" w:eastAsia="Times New Roman" w:hAnsi="Helvetica" w:cs="Times New Roman"/>
          <w:b/>
          <w:bCs/>
          <w:color w:val="2C3E50"/>
          <w:sz w:val="27"/>
          <w:szCs w:val="27"/>
          <w:lang w:eastAsia="ru-RU"/>
        </w:rPr>
        <w:t>                               </w:t>
      </w:r>
      <w:r w:rsidRPr="001547E3">
        <w:rPr>
          <w:rFonts w:ascii="Helvetica" w:eastAsia="Times New Roman" w:hAnsi="Helvetica" w:cs="Times New Roman"/>
          <w:color w:val="2C3E50"/>
          <w:sz w:val="27"/>
          <w:szCs w:val="27"/>
          <w:lang w:eastAsia="ru-RU"/>
        </w:rPr>
        <w:br/>
        <w:t>Уважаемые граждане!</w:t>
      </w:r>
    </w:p>
    <w:p w:rsidR="001547E3" w:rsidRPr="001547E3" w:rsidRDefault="001547E3" w:rsidP="001547E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C3E50"/>
          <w:sz w:val="27"/>
          <w:szCs w:val="27"/>
          <w:lang w:eastAsia="ru-RU"/>
        </w:rPr>
      </w:pPr>
      <w:r w:rsidRPr="001547E3">
        <w:rPr>
          <w:rFonts w:ascii="Helvetica" w:eastAsia="Times New Roman" w:hAnsi="Helvetica" w:cs="Times New Roman"/>
          <w:color w:val="2C3E50"/>
          <w:sz w:val="27"/>
          <w:szCs w:val="27"/>
          <w:lang w:eastAsia="ru-RU"/>
        </w:rPr>
        <w:t>В случае поступления вам предложений по оказанию услуг, отсутствующих в перечне, вы можете подать жалобу по телефону (49143) 5-14-33 или написать письмо по адресу электронной почты e-</w:t>
      </w:r>
      <w:proofErr w:type="spellStart"/>
      <w:r w:rsidRPr="001547E3">
        <w:rPr>
          <w:rFonts w:ascii="Helvetica" w:eastAsia="Times New Roman" w:hAnsi="Helvetica" w:cs="Times New Roman"/>
          <w:color w:val="2C3E50"/>
          <w:sz w:val="27"/>
          <w:szCs w:val="27"/>
          <w:lang w:eastAsia="ru-RU"/>
        </w:rPr>
        <w:t>mail</w:t>
      </w:r>
      <w:proofErr w:type="spellEnd"/>
      <w:r w:rsidRPr="001547E3">
        <w:rPr>
          <w:rFonts w:ascii="Helvetica" w:eastAsia="Times New Roman" w:hAnsi="Helvetica" w:cs="Times New Roman"/>
          <w:color w:val="2C3E50"/>
          <w:sz w:val="27"/>
          <w:szCs w:val="27"/>
          <w:lang w:eastAsia="ru-RU"/>
        </w:rPr>
        <w:t>: </w:t>
      </w:r>
      <w:hyperlink r:id="rId5" w:history="1">
        <w:r w:rsidRPr="001547E3">
          <w:rPr>
            <w:rFonts w:ascii="Helvetica" w:eastAsia="Times New Roman" w:hAnsi="Helvetica" w:cs="Times New Roman"/>
            <w:color w:val="18BC9C"/>
            <w:sz w:val="27"/>
            <w:szCs w:val="27"/>
            <w:u w:val="single"/>
            <w:lang w:eastAsia="ru-RU"/>
          </w:rPr>
          <w:t>rgc.malshina@mail.ru</w:t>
        </w:r>
      </w:hyperlink>
    </w:p>
    <w:p w:rsidR="0019528F" w:rsidRDefault="0019528F">
      <w:bookmarkStart w:id="0" w:name="_GoBack"/>
      <w:bookmarkEnd w:id="0"/>
    </w:p>
    <w:sectPr w:rsidR="0019528F" w:rsidSect="001547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D"/>
    <w:rsid w:val="00073B0D"/>
    <w:rsid w:val="001547E3"/>
    <w:rsid w:val="001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EF62-E869-48B5-ABE6-1ECF109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47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c.malshina@mail.ru" TargetMode="External"/><Relationship Id="rId4" Type="http://schemas.openxmlformats.org/officeDocument/2006/relationships/hyperlink" Target="http://docs.cntd.ru/document/420216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2019-09-09T09:28:00Z</dcterms:created>
  <dcterms:modified xsi:type="dcterms:W3CDTF">2019-09-09T09:28:00Z</dcterms:modified>
</cp:coreProperties>
</file>