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74" w:rsidRDefault="00A97D11">
      <w:r>
        <w:rPr>
          <w:rFonts w:ascii="Verdana" w:hAnsi="Verdana"/>
          <w:color w:val="463C2B"/>
          <w:sz w:val="18"/>
          <w:szCs w:val="18"/>
          <w:shd w:val="clear" w:color="auto" w:fill="FFFFFF"/>
        </w:rPr>
        <w:t>Этот вид экспертиз </w:t>
      </w:r>
      <w:proofErr w:type="gramStart"/>
      <w:r>
        <w:t>в каждым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годом</w:t>
      </w:r>
      <w:proofErr w:type="gramEnd"/>
      <w:r>
        <w:rPr>
          <w:rFonts w:ascii="Verdana" w:hAnsi="Verdana"/>
          <w:color w:val="463C2B"/>
          <w:sz w:val="18"/>
          <w:szCs w:val="18"/>
          <w:shd w:val="clear" w:color="auto" w:fill="FFFFFF"/>
        </w:rPr>
        <w:t xml:space="preserve"> увеличивается </w:t>
      </w:r>
      <w:r>
        <w:t>в числе.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Это по-видимому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связано </w:t>
      </w:r>
      <w:r>
        <w:t xml:space="preserve">с </w:t>
      </w:r>
      <w:proofErr w:type="spellStart"/>
      <w:r>
        <w:t>повышением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уровня</w:t>
      </w:r>
      <w:proofErr w:type="spellEnd"/>
      <w:r>
        <w:rPr>
          <w:rFonts w:ascii="Verdana" w:hAnsi="Verdana"/>
          <w:color w:val="463C2B"/>
          <w:sz w:val="18"/>
          <w:szCs w:val="18"/>
          <w:shd w:val="clear" w:color="auto" w:fill="FFFFFF"/>
        </w:rPr>
        <w:t xml:space="preserve"> правовой грамотности населения </w:t>
      </w:r>
      <w:r>
        <w:t>и более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частым обращением </w:t>
      </w:r>
      <w:r>
        <w:t>в гражданский суд.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Около половины подобных дел проводится </w:t>
      </w:r>
      <w:r>
        <w:t>в рамках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так называемого «материала проверки», т.е. формируется «Акт комиссионного судебно-медицинского исследования». </w:t>
      </w:r>
      <w:r>
        <w:t>В таком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случае исследование назначается сотрудником правоохранительных органов по соответствующему населенному пункту, </w:t>
      </w:r>
      <w:r>
        <w:t>в который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обратился гражданин. </w:t>
      </w:r>
      <w:r>
        <w:t>Им же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и собирается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весь пакет документов.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Другая часть подобных дел проводится по гражданским делам </w:t>
      </w:r>
      <w:r>
        <w:t>на основании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определений суда.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Экспертизы этого вида по личному заявлению граждан </w:t>
      </w:r>
      <w:r>
        <w:t>в настоящее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время Бюро </w:t>
      </w:r>
      <w:r>
        <w:t>не проводятся,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что связано </w:t>
      </w:r>
      <w:r>
        <w:t>с невозможностью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граждан предоставить экспертам все необходимые медицинские документы </w:t>
      </w:r>
      <w:r>
        <w:t>в подлинниках.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Следует отметить отдельные виды медицинской помощи, которые </w:t>
      </w:r>
      <w:r>
        <w:t>в последние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годы имеют тенденцию </w:t>
      </w:r>
      <w:r>
        <w:t>к лидированию: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 акушерско-гинекологическая </w:t>
      </w:r>
      <w:r>
        <w:t>и перинатальная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помощь;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 стоматологическая помощь;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 пластическая хирургия </w:t>
      </w:r>
      <w:r>
        <w:t>и косметология;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 офтальмология.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Базовая стоимость такого вида экспертиз зависит </w:t>
      </w:r>
      <w:r>
        <w:t>от количества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документов </w:t>
      </w:r>
      <w:r>
        <w:t>и сложности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предстоящей экспертной работы.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В этих экспертизах всегда участвуют врачи других специальностей </w:t>
      </w:r>
      <w:r>
        <w:t>(их услуги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оплачиваются отдельно). </w:t>
      </w:r>
      <w:r>
        <w:t>В зависимости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от сложности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экспертиз количество привлеченных врачей других специальностей может быть </w:t>
      </w:r>
      <w:r>
        <w:t>от одного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до десяти,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редко более врачей.</w:t>
      </w:r>
      <w:bookmarkStart w:id="0" w:name="_GoBack"/>
      <w:bookmarkEnd w:id="0"/>
    </w:p>
    <w:sectPr w:rsidR="0048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A"/>
    <w:rsid w:val="00461EEA"/>
    <w:rsid w:val="00483F74"/>
    <w:rsid w:val="00A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3000-CC3E-40F1-8096-E31232A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2019-09-24T04:14:00Z</dcterms:created>
  <dcterms:modified xsi:type="dcterms:W3CDTF">2019-09-24T04:14:00Z</dcterms:modified>
</cp:coreProperties>
</file>