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Об основах охраны здоровья граждан в Российской Федерации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Глава 4. Права и обязанности граждан в сфере охраны здоровья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18. Право на охрану здоровья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Каждый имеет право на охрану здоровья.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19. Право на медицинскую помощь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Каждый имеет право на медицинскую помощь.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Пациент имеет право на: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 </w:t>
      </w:r>
      <w:hyperlink r:id="rId4" w:anchor="/document/99/902312609/XA00MAA2MO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выбор врача и выбор медицинской организации</w:t>
        </w:r>
      </w:hyperlink>
      <w:r>
        <w:rPr>
          <w:rFonts w:ascii="Arial" w:hAnsi="Arial" w:cs="Arial"/>
          <w:color w:val="444444"/>
          <w:sz w:val="21"/>
          <w:szCs w:val="21"/>
        </w:rPr>
        <w:t>в соответствии с настоящим Федеральным законом;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получение консультаций врачей-специалистов;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6) получение </w:t>
      </w:r>
      <w:hyperlink r:id="rId5" w:anchor="/document/99/902312609/XA00MB02MV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лечебного питания</w:t>
        </w:r>
      </w:hyperlink>
      <w:r>
        <w:rPr>
          <w:rFonts w:ascii="Arial" w:hAnsi="Arial" w:cs="Arial"/>
          <w:color w:val="444444"/>
          <w:sz w:val="21"/>
          <w:szCs w:val="21"/>
        </w:rPr>
        <w:t>в случае нахождения пациента на лечении в стационарных условиях;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7) защиту сведений, составляющих </w:t>
      </w:r>
      <w:hyperlink r:id="rId6" w:anchor="/document/99/902312609/XA00M742MU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врачебную тайну</w:t>
        </w:r>
      </w:hyperlink>
      <w:r>
        <w:rPr>
          <w:rFonts w:ascii="Arial" w:hAnsi="Arial" w:cs="Arial"/>
          <w:color w:val="444444"/>
          <w:sz w:val="21"/>
          <w:szCs w:val="21"/>
        </w:rPr>
        <w:t>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8) отказ от медицинского вмешательства;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9) возмещение вреда, причиненного здоровью при оказании ему медицинской помощи;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10) допуск к нему адвоката или законного представителя для защиты своих прав;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20. Информированное добровольное согласие на медицинское вмешательство и на отказ от медицинского вмешательства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лица, не достигшего возраста, установленного </w:t>
      </w:r>
      <w:hyperlink r:id="rId7" w:anchor="/document/99/902312609/XA00MD22N8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частью 5 статьи 47</w:t>
        </w:r>
      </w:hyperlink>
      <w:r>
        <w:rPr>
          <w:rFonts w:ascii="Arial" w:hAnsi="Arial" w:cs="Arial"/>
          <w:color w:val="444444"/>
          <w:sz w:val="21"/>
          <w:szCs w:val="21"/>
        </w:rPr>
        <w:t>и </w:t>
      </w:r>
      <w:hyperlink r:id="rId8" w:anchor="/document/99/902312609/XA00MFS2O8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частью 2 статьи 54 настоящего Федерального закона</w:t>
        </w:r>
      </w:hyperlink>
      <w:r>
        <w:rPr>
          <w:rFonts w:ascii="Arial" w:hAnsi="Arial" w:cs="Arial"/>
          <w:color w:val="444444"/>
          <w:sz w:val="21"/>
          <w:szCs w:val="21"/>
        </w:rPr>
        <w:t>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Гражданин, один из родителей или иной законный представитель лица, указанного в </w:t>
      </w:r>
      <w:hyperlink r:id="rId9" w:anchor="/document/99/902312609/XA00M9Q2NI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2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0" w:anchor="/document/99/902312609/XA00M962NE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частью 9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1" w:anchor="/document/99/902312609/XA00M9Q2NI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2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в доступной для него форме должны быть разъяснены возможные последствия такого отказа.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При отказе одного из родителей или иного законного представителя лица, указанного в </w:t>
      </w:r>
      <w:hyperlink r:id="rId12" w:anchor="/document/99/902312609/XA00M9Q2NI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2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 </w:t>
      </w:r>
      <w:hyperlink r:id="rId13" w:anchor="/document/99/420258009/XA00MMI2OT/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обратиться в суд для защиты интересов такого лица</w:t>
        </w:r>
      </w:hyperlink>
      <w:r>
        <w:rPr>
          <w:rFonts w:ascii="Arial" w:hAnsi="Arial" w:cs="Arial"/>
          <w:color w:val="444444"/>
          <w:sz w:val="21"/>
          <w:szCs w:val="21"/>
        </w:rPr>
        <w:t>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Лица, указанные в </w:t>
      </w:r>
      <w:hyperlink r:id="rId14" w:anchor="/document/99/902312609/XA00M982NF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частях 1</w:t>
        </w:r>
      </w:hyperlink>
      <w:r>
        <w:rPr>
          <w:rFonts w:ascii="Arial" w:hAnsi="Arial" w:cs="Arial"/>
          <w:color w:val="444444"/>
          <w:sz w:val="21"/>
          <w:szCs w:val="21"/>
        </w:rPr>
        <w:t>и </w:t>
      </w:r>
      <w:hyperlink r:id="rId15" w:anchor="/document/99/902312609/XA00M9Q2NI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2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для получения первичной медико-санитарной помощи при </w:t>
      </w:r>
      <w:hyperlink r:id="rId16" w:anchor="/document/99/902312609/XA00MAA2MO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выборе врача и медицинской организации</w:t>
        </w:r>
      </w:hyperlink>
      <w:r>
        <w:rPr>
          <w:rFonts w:ascii="Arial" w:hAnsi="Arial" w:cs="Arial"/>
          <w:color w:val="444444"/>
          <w:sz w:val="21"/>
          <w:szCs w:val="21"/>
        </w:rPr>
        <w:t>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</w:t>
      </w:r>
      <w:r>
        <w:rPr>
          <w:rFonts w:ascii="Arial" w:hAnsi="Arial" w:cs="Arial"/>
          <w:color w:val="444444"/>
          <w:sz w:val="21"/>
          <w:szCs w:val="21"/>
        </w:rPr>
        <w:lastRenderedPageBreak/>
        <w:t>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17" w:anchor="/document/99/902312609/XA00M9Q2NI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2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);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в отношении лиц, страдающих заболеваниями, представляющими опасность для окружающих;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в отношении лиц, страдающих тяжелыми психическими расстройствами;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в отношении лиц, совершивших общественно опасные деяния (преступления);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 при проведении судебно-медицинской экспертизы и (или) судебно-психиатрической экспертизы.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в случаях, указанных в </w:t>
      </w:r>
      <w:hyperlink r:id="rId18" w:anchor="/document/99/902312609/XA00M6M2N5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пунктах 1</w:t>
        </w:r>
      </w:hyperlink>
      <w:r>
        <w:rPr>
          <w:rFonts w:ascii="Arial" w:hAnsi="Arial" w:cs="Arial"/>
          <w:color w:val="444444"/>
          <w:sz w:val="21"/>
          <w:szCs w:val="21"/>
        </w:rPr>
        <w:t>и </w:t>
      </w:r>
      <w:hyperlink r:id="rId19" w:anchor="/document/99/902312609/XA00M782N8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2 части 9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- консилиумом врачей, а в случае, если собрать консилиум невозможно, - непосредственно </w:t>
      </w:r>
      <w:hyperlink r:id="rId20" w:anchor="/document/99/902312609/XA00M282M0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лечащим (дежурным) врачом</w:t>
        </w:r>
      </w:hyperlink>
      <w:r>
        <w:rPr>
          <w:rFonts w:ascii="Arial" w:hAnsi="Arial" w:cs="Arial"/>
          <w:color w:val="444444"/>
          <w:sz w:val="21"/>
          <w:szCs w:val="21"/>
        </w:rPr>
        <w:t>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21" w:anchor="/document/99/902312609/XA00M9Q2NI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2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в отношении лиц, указанных в </w:t>
      </w:r>
      <w:hyperlink r:id="rId22" w:anchor="/document/99/902312609/XA00MAG2MV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пунктах 3</w:t>
        </w:r>
      </w:hyperlink>
      <w:r>
        <w:rPr>
          <w:rFonts w:ascii="Arial" w:hAnsi="Arial" w:cs="Arial"/>
          <w:color w:val="444444"/>
          <w:sz w:val="21"/>
          <w:szCs w:val="21"/>
        </w:rPr>
        <w:t>и </w:t>
      </w:r>
      <w:hyperlink r:id="rId23" w:anchor="/document/99/902312609/XA00M2K2M0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4 части 9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- судом в случаях и в порядке, которые установлены законодательством Российской Федерации.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21. Выбор врача и медицинской организации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Оказание первичной специализированной медико-санитарной помощи осуществляется: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24" w:anchor="/document/99/902312609/XA00M7E2N4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частью 2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с учетом порядков оказания медицинской помощи.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 </w:t>
      </w:r>
      <w:hyperlink r:id="rId25" w:anchor="/document/99/902312609/XA00M282M0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лечащего врача</w:t>
        </w:r>
      </w:hyperlink>
      <w:r>
        <w:rPr>
          <w:rFonts w:ascii="Arial" w:hAnsi="Arial" w:cs="Arial"/>
          <w:color w:val="444444"/>
          <w:sz w:val="21"/>
          <w:szCs w:val="21"/>
        </w:rPr>
        <w:t>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26" w:anchor="/document/99/902312609/XA00M9I2NE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статьями 25</w:t>
        </w:r>
      </w:hyperlink>
      <w:r>
        <w:rPr>
          <w:rFonts w:ascii="Arial" w:hAnsi="Arial" w:cs="Arial"/>
          <w:color w:val="444444"/>
          <w:sz w:val="21"/>
          <w:szCs w:val="21"/>
        </w:rPr>
        <w:t>и </w:t>
      </w:r>
      <w:hyperlink r:id="rId27" w:anchor="/document/99/902312609/XA00MCU2N4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26 настоящего Федерального закона</w:t>
        </w:r>
      </w:hyperlink>
      <w:r>
        <w:rPr>
          <w:rFonts w:ascii="Arial" w:hAnsi="Arial" w:cs="Arial"/>
          <w:color w:val="444444"/>
          <w:sz w:val="21"/>
          <w:szCs w:val="21"/>
        </w:rPr>
        <w:t>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lastRenderedPageBreak/>
        <w:t>Статья 22. Информация о состоянии здоровья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Информация о состоянии здоровья предоставляется пациенту лично </w:t>
      </w:r>
      <w:hyperlink r:id="rId28" w:anchor="/document/99/902312609/XA00M282M0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лечащим врачом</w:t>
        </w:r>
      </w:hyperlink>
      <w:r>
        <w:rPr>
          <w:rFonts w:ascii="Arial" w:hAnsi="Arial" w:cs="Arial"/>
          <w:color w:val="444444"/>
          <w:sz w:val="21"/>
          <w:szCs w:val="21"/>
        </w:rPr>
        <w:t>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29" w:anchor="/document/99/902312609/XA00MFS2O8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2 статьи 54 настоящего Федерального закона</w:t>
        </w:r>
      </w:hyperlink>
      <w:r>
        <w:rPr>
          <w:rFonts w:ascii="Arial" w:hAnsi="Arial" w:cs="Arial"/>
          <w:color w:val="444444"/>
          <w:sz w:val="21"/>
          <w:szCs w:val="21"/>
        </w:rPr>
        <w:t>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23. Информация о факторах, влияющих на здоровье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24. Права работников, занятых на отдельных видах работ, на охрану здоровья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</w:t>
      </w:r>
      <w:r>
        <w:rPr>
          <w:rFonts w:ascii="Arial" w:hAnsi="Arial" w:cs="Arial"/>
          <w:color w:val="444444"/>
          <w:sz w:val="21"/>
          <w:szCs w:val="21"/>
        </w:rPr>
        <w:lastRenderedPageBreak/>
        <w:t>устанавливается уполномоченным федеральным органом исполнительной власти, работник может быть признан </w:t>
      </w:r>
      <w:hyperlink r:id="rId30" w:anchor="/document/99/902348296/XA00LUO2M6/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врачебной комиссией</w:t>
        </w:r>
      </w:hyperlink>
      <w:r>
        <w:rPr>
          <w:rFonts w:ascii="Arial" w:hAnsi="Arial" w:cs="Arial"/>
          <w:color w:val="444444"/>
          <w:sz w:val="21"/>
          <w:szCs w:val="21"/>
        </w:rPr>
        <w:t>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 </w:t>
      </w:r>
      <w:hyperlink r:id="rId31" w:anchor="/document/99/902312609/XA00M9A2N1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статьей 61 настоящего Федерального закона</w:t>
        </w:r>
      </w:hyperlink>
      <w:r>
        <w:rPr>
          <w:rFonts w:ascii="Arial" w:hAnsi="Arial" w:cs="Arial"/>
          <w:color w:val="444444"/>
          <w:sz w:val="21"/>
          <w:szCs w:val="21"/>
        </w:rPr>
        <w:t>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</w:t>
      </w:r>
      <w:r>
        <w:rPr>
          <w:rFonts w:ascii="Arial" w:hAnsi="Arial" w:cs="Arial"/>
          <w:color w:val="444444"/>
          <w:sz w:val="21"/>
          <w:szCs w:val="21"/>
        </w:rPr>
        <w:lastRenderedPageBreak/>
        <w:t>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Беременные женщины, женщины во время родов и в послеродовой период из числа лиц, указанных в </w:t>
      </w:r>
      <w:hyperlink r:id="rId32" w:anchor="/document/99/902312609/XA00MDG2N7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1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имеют право на оказание медицинской помощи, в том числе в медицинских организациях охраны материнства и детства.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33" w:anchor="/document/99/902312609/XA00MCC2NQ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3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Клиническая апробация, испытание лекарственных препаратов, специализированных продуктов </w:t>
      </w:r>
      <w:hyperlink r:id="rId34" w:anchor="/document/99/902312609/XA00MB02MV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лечебного питания</w:t>
        </w:r>
      </w:hyperlink>
      <w:r>
        <w:rPr>
          <w:rFonts w:ascii="Arial" w:hAnsi="Arial" w:cs="Arial"/>
          <w:color w:val="444444"/>
          <w:sz w:val="21"/>
          <w:szCs w:val="21"/>
        </w:rPr>
        <w:t>, медицинских изделий и дезинфекционных средств с привлечением в качестве объекта для этих целей лиц, указанных в </w:t>
      </w:r>
      <w:hyperlink r:id="rId35" w:anchor="/document/99/902312609/XA00MDG2N7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1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не допускаются.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36" w:anchor="/document/99/902312609/XA00MDG2N7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части 1 настоящей статьи</w:t>
        </w:r>
      </w:hyperlink>
      <w:r>
        <w:rPr>
          <w:rFonts w:ascii="Arial" w:hAnsi="Arial" w:cs="Arial"/>
          <w:color w:val="444444"/>
          <w:sz w:val="21"/>
          <w:szCs w:val="21"/>
        </w:rPr>
        <w:t>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27. Обязанности граждан в сфере охраны здоровья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Граждане обязаны заботиться о сохранении своего здоровья.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 28. Общественные объединения по защите прав граждан в сфере охраны здоровья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E5E01" w:rsidRDefault="000E5E01" w:rsidP="000E5E0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 </w:t>
      </w:r>
      <w:hyperlink r:id="rId37" w:anchor="/document/99/902312609/XA00MB02MV/" w:tgtFrame="_self" w:history="1">
        <w:r>
          <w:rPr>
            <w:rStyle w:val="a5"/>
            <w:rFonts w:ascii="Arial" w:hAnsi="Arial" w:cs="Arial"/>
            <w:color w:val="4488BB"/>
            <w:sz w:val="21"/>
            <w:szCs w:val="21"/>
          </w:rPr>
          <w:t>лечебного питания</w:t>
        </w:r>
      </w:hyperlink>
      <w:r>
        <w:rPr>
          <w:rFonts w:ascii="Arial" w:hAnsi="Arial" w:cs="Arial"/>
          <w:color w:val="444444"/>
          <w:sz w:val="21"/>
          <w:szCs w:val="21"/>
        </w:rPr>
        <w:t>и заменителей грудного молока.</w:t>
      </w:r>
    </w:p>
    <w:p w:rsidR="000E5E01" w:rsidRDefault="000E5E01" w:rsidP="000E5E01">
      <w:pPr>
        <w:pStyle w:val="a3"/>
        <w:spacing w:before="225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F2020" w:rsidRDefault="00DF2020">
      <w:bookmarkStart w:id="0" w:name="_GoBack"/>
      <w:bookmarkEnd w:id="0"/>
    </w:p>
    <w:sectPr w:rsidR="00D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34"/>
    <w:rsid w:val="000E5E01"/>
    <w:rsid w:val="00265E34"/>
    <w:rsid w:val="00D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1D295-D512-4877-8A6D-1EB4D45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E01"/>
    <w:rPr>
      <w:b/>
      <w:bCs/>
    </w:rPr>
  </w:style>
  <w:style w:type="character" w:styleId="a5">
    <w:name w:val="Hyperlink"/>
    <w:basedOn w:val="a0"/>
    <w:uiPriority w:val="99"/>
    <w:semiHidden/>
    <w:unhideWhenUsed/>
    <w:rsid w:val="000E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" Type="http://schemas.openxmlformats.org/officeDocument/2006/relationships/hyperlink" Target="http://www.gosfinansy.ru/" TargetMode="Externa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4454</Words>
  <Characters>25392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2019-11-11T06:39:00Z</dcterms:created>
  <dcterms:modified xsi:type="dcterms:W3CDTF">2019-11-11T06:39:00Z</dcterms:modified>
</cp:coreProperties>
</file>