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u w:val="single"/>
        </w:rPr>
        <w:t>Информация о предоставляемых ОБУЗ «КОКСПК» платных медицинских услугах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Потребителями медицинских услуг ОБУЗ «КОКСПК» могут быть граждане, достигшие возраста 14 лет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Группа крови</w:t>
      </w:r>
      <w:r>
        <w:rPr>
          <w:rFonts w:ascii="Arial" w:hAnsi="Arial" w:cs="Arial"/>
          <w:color w:val="000000"/>
          <w:sz w:val="25"/>
          <w:szCs w:val="25"/>
        </w:rPr>
        <w:t> представляет собой определенное </w:t>
      </w:r>
      <w:r>
        <w:rPr>
          <w:rStyle w:val="a4"/>
          <w:rFonts w:ascii="Arial" w:hAnsi="Arial" w:cs="Arial"/>
          <w:color w:val="000000"/>
          <w:sz w:val="25"/>
          <w:szCs w:val="25"/>
        </w:rPr>
        <w:t>сочетание антигенов эритроцитов системы АВО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Группа крови- генетически наследуемые признаки, не изменяющиеся в течение жизни при естественных условиях.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u w:val="single"/>
        </w:rPr>
        <w:t>Антиген Rh</w:t>
      </w:r>
      <w:r>
        <w:rPr>
          <w:rFonts w:ascii="Arial" w:hAnsi="Arial" w:cs="Arial"/>
          <w:color w:val="000000"/>
          <w:sz w:val="25"/>
          <w:szCs w:val="25"/>
          <w:u w:val="single"/>
        </w:rPr>
        <w:t>-</w:t>
      </w:r>
      <w:r>
        <w:rPr>
          <w:rFonts w:ascii="Arial" w:hAnsi="Arial" w:cs="Arial"/>
          <w:color w:val="000000"/>
          <w:sz w:val="25"/>
          <w:szCs w:val="25"/>
        </w:rPr>
        <w:t> один их эритроцитарных антигенов системы резус, располагается на поверхности эритроцитов. В системе Резус различают 5 основных антигенов. Основным является </w:t>
      </w:r>
      <w:r>
        <w:rPr>
          <w:rStyle w:val="a4"/>
          <w:rFonts w:ascii="Arial" w:hAnsi="Arial" w:cs="Arial"/>
          <w:color w:val="000000"/>
          <w:sz w:val="25"/>
          <w:szCs w:val="25"/>
        </w:rPr>
        <w:t>антиген  Rh (D)</w:t>
      </w:r>
      <w:r>
        <w:rPr>
          <w:rFonts w:ascii="Arial" w:hAnsi="Arial" w:cs="Arial"/>
          <w:color w:val="000000"/>
          <w:sz w:val="25"/>
          <w:szCs w:val="25"/>
        </w:rPr>
        <w:t>, который обычно подразумевают под названием </w:t>
      </w:r>
      <w:r>
        <w:rPr>
          <w:rStyle w:val="a4"/>
          <w:rFonts w:ascii="Arial" w:hAnsi="Arial" w:cs="Arial"/>
          <w:color w:val="000000"/>
          <w:sz w:val="25"/>
          <w:szCs w:val="25"/>
        </w:rPr>
        <w:t>резус-фактор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Эритроциты примерно 85% людей несут этот белок, поэтому их относят к резус-положительным, у 15 % людей его нет, они резус-отрицательные.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  <w:u w:val="single"/>
        </w:rPr>
        <w:t>Фенотипирование</w:t>
      </w:r>
      <w:r>
        <w:rPr>
          <w:rStyle w:val="a4"/>
          <w:rFonts w:ascii="Arial" w:hAnsi="Arial" w:cs="Arial"/>
          <w:color w:val="000000"/>
          <w:sz w:val="25"/>
          <w:szCs w:val="25"/>
        </w:rPr>
        <w:t>-</w:t>
      </w:r>
      <w:r>
        <w:rPr>
          <w:rFonts w:ascii="Arial" w:hAnsi="Arial" w:cs="Arial"/>
          <w:color w:val="000000"/>
          <w:sz w:val="25"/>
          <w:szCs w:val="25"/>
        </w:rPr>
        <w:t>  определение наличия на исследуемых эритроцитах антигенов  С, Е.с,е, К.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5"/>
          <w:szCs w:val="25"/>
        </w:rPr>
        <w:t>Антитела к эритроцитарным антигенам</w:t>
      </w:r>
      <w:r>
        <w:rPr>
          <w:rFonts w:ascii="Arial" w:hAnsi="Arial" w:cs="Arial"/>
          <w:color w:val="000000"/>
          <w:sz w:val="25"/>
          <w:szCs w:val="25"/>
        </w:rPr>
        <w:t>, в первую  очередь резус-фактору, свидетельствуют  о сенсибилизации организма к этим антигенам.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     </w:t>
      </w:r>
      <w:r>
        <w:rPr>
          <w:rStyle w:val="a4"/>
          <w:rFonts w:ascii="Arial" w:hAnsi="Arial" w:cs="Arial"/>
          <w:color w:val="000000"/>
          <w:sz w:val="25"/>
          <w:szCs w:val="25"/>
        </w:rPr>
        <w:t>Взятие крови</w:t>
      </w:r>
      <w:r>
        <w:rPr>
          <w:rFonts w:ascii="Arial" w:hAnsi="Arial" w:cs="Arial"/>
          <w:color w:val="000000"/>
          <w:sz w:val="25"/>
          <w:szCs w:val="25"/>
        </w:rPr>
        <w:t> для определения группы крови, резус-принадлежности, фенотипа, антиэритроцитарных антител проводится из вены с помощью вакутейнера  (одноразовой  пластиковой системы забора крови) в одноразовые   вакуумные  пробирки  на 6 мл.</w:t>
      </w:r>
    </w:p>
    <w:p w:rsidR="003B7699" w:rsidRDefault="003B7699" w:rsidP="003B76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     Во время процедуры взятия  венозной  крови системой  IMPROVACUTENER   возможны: кратковременное снижение артериального давления, гематома в области инъекции, не являющиеся следствием ошибки персонала.</w:t>
      </w:r>
    </w:p>
    <w:p w:rsidR="007B4145" w:rsidRDefault="007B4145">
      <w:bookmarkStart w:id="0" w:name="_GoBack"/>
      <w:bookmarkEnd w:id="0"/>
    </w:p>
    <w:sectPr w:rsidR="007B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F0"/>
    <w:rsid w:val="003B7699"/>
    <w:rsid w:val="007B4145"/>
    <w:rsid w:val="00C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62FB5-FC6F-4F2B-BD31-B2E7D0E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2019-10-17T05:14:00Z</dcterms:created>
  <dcterms:modified xsi:type="dcterms:W3CDTF">2019-10-17T05:14:00Z</dcterms:modified>
</cp:coreProperties>
</file>