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Это современное многопрофильное отделение, использующее новейшие технологии, опирающееся на знания врачей – профессионалов с большим опытом, чье отношение к больным основано на принципах гуманизма и ответственности. Обратившись к нам, вы на себе ощутите понимание, чуткость, доброжелательность.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 отделении работают  врачи 15 терапевтических  специальностей. Это - врачи высшей квалификационной категории, доктора и кандидаты медицинских наук. В диагностике и лечении мы используем медицинское оборудование ведущих отечественных и зарубежных фирм. В Центре –  уникальная  лабораторная служба, поддерживающая знания,  интуицию и опыт наших специалистов широким спектром самых современных лабораторных исследований.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Уникальной чертой нашего отделения является возможность лечения пациентов с  учетом сочетанной патологии на высоком специализированном уровне. Этого мы достигаем работой в команде заинтересованных в успехе профессионалов.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Специалисты отделения помогут решить как вопросы профилактики, так и выявить и провести лечение большинства заболеваний по следующим специальностям: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Аллергология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Аллерголог консультирует  пациентов с аллергическим ринитом  (сезонным и круглогодичным), бронхиальной астмой аллергического генеза, атопическим дерматитом, крапивницей, рецидивирующими ангиоотеками, пищевой и лекарственной аллергией.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Гастроэнтерология   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Врачи-гастроэнтерологи имеют большой опыт в ведении  пациентов с кислотозависимыми заболеваниями (хронический гастродуоденит,  язвенная болезнь, поражение пищевода), заболеваниями поджелудочной железы, печени, желчного пузыря, с заболеваниями кишечника (колиты, дисбиоз).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Гематология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 амбулаторных условиях врач-гематолог занимается комплексной диагностикой  анемий, лимфопролиферативных и миелопролиферативных заболеваний  с возможностью последующего стационарного обследования и лечения, в том числе с применением высокотехнологичных методик.  Возможно лечение в условиях дневного стационара.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Проводятся  специфические клинические тесты для оценки гемостаза, склонности к  геморрагическим и  тромботическим осложнениям.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lastRenderedPageBreak/>
        <w:t>Дерматология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Врачи-дерматологи занимаются диагностикой, лечением и профилактикой аллергодерматозов (псориаз,  экзема,  нейродермит), грибковых и паразитарных   заболеваний  кожи и  ее  придатков (ногтей,  волос); лечением выпадения  волос; диагностикой новообразований  кожи  и слизистых  оболочек.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Иммунология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Врачи-иммунологи занимаются диагностикой и лечением хронических, резистентных к традиционным методам терапии,  бактериальных и вирусных инфекций, аутоиммунных и аллергических заболеваний. Занимаются дифференциальной диагностикой первичных и вторичных  иммунодефицитов. Проводят иммунологическое обследование  сложным в диагностическом плане пациентам с длительной субфебрильной температурой,  синдромом повышенного СОЭ и  лимфоаденопатией.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Инфекционные болезни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Врач-инфекционист занимается диагностикой и лечением  инфекционных и паразитарных заболеваний печени; заболеваний, вызванных простейшими и паразитами, хроническими вирусными инфекциями. Лечение включает в себя медикаментозную терапию, в/в дезинтоксикацию, физиотерапевтическое лечение.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Проводится полная диагностика и лечение клещевого энцефалита (возможна диспансеризация, после перенесенной инфекции) и клещевого боррелиоза.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Кардиология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Наши врачи- кардиологи успешно  диагностируют  и лечат весь спектр  кардиологической патологии. Проводят отбор пациентов для кардиохирургического лечения, затем осуществляют динамическое наблюдение за пациентами, перенесшими операции на сердце.  Осуществляют ведение пациентов,  получающих постоянную антикоагулянтную терапию.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Неврология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Врачи-неврологи занимаются лечением остеохондроза и нарушений мозгового кровообращения, последствиями черепно-мозговых травм, астеническими состояниями, энцефалопатиями, эпилепсией, вегетативными дистониями, нарушениями памяти, болезнью Паркинсона, рассеянным склерозом.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lastRenderedPageBreak/>
        <w:t>Неврологи поликлиники работают и в стационаре ВЦЭРМ, что позволяет одному врачу курировать пациентов на всех этапах лечения.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Нефрология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Врач-нефролог занимается комплексным обследованием и лечением больных с патологией  почек. Пациентам с хронической почечной недостаточностью определяются показания для заместительной почечной терапии.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Пульмонология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Пульмонолог на амбулаторном приеме занимается диагностикой и подбором лекарственной терапии  бронхо-легочных заболеваний, ориентируясь на сопутствующую патологию  (эндокринную, кардиологическую, гастроэнтерологическую и другие). В лечение пульмонологических пациентов широко используется небулайзерная терапия, плазмаферез, УФО крови. Проводится индивидуальная реабилитация с использованием широкого спектра физиотерапевтических процедур, ЛФК и мануальной терапии.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Ревматология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Врач-ревматолог занимается диагностикой и лечением системных заболеваний соединительной ткани, системных васкулитов, болезнью Шегрена, ревматоидным артритом, болезнью Бехтерева, псориатический артрит, остеоартроз.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При прогрессирующем течении, высокой степени активности вышеперечисленных заболеваний проводится комплексное лечение и подбор (коррекция) базисной терапии, определяются показания для генно-инженерной биологической терапии.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Терапия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Врачи-терапевты поликлиники занимаются комплексной оценкой состояния здоровья пациентов, проводят консультации с профилактической целью. В диагностически сложных случаях и «трудных» в лечении пациентов направляют на консультации к узким специалистам.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t>Фтизиатрия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Врач–фтизиатр центра консультирует пациентов с подозрением на туберкулёз лёгких, больных туберкулёзом для уточнения тактики лечения, переболевших туберкулёзом в прошлом, при наличии остаточных изменений для уточнения активности специфического процесса, а также  пациентов с впервые выявленными изменениями в легких с целью уточнения диагноза вместе с врачами-пульмонологами и терапевтами.</w:t>
      </w:r>
    </w:p>
    <w:p w:rsidR="006E4604" w:rsidRDefault="006E4604" w:rsidP="006E460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Style w:val="a4"/>
          <w:rFonts w:ascii="inherit" w:hAnsi="inherit"/>
          <w:color w:val="323232"/>
          <w:sz w:val="23"/>
          <w:szCs w:val="23"/>
          <w:bdr w:val="none" w:sz="0" w:space="0" w:color="auto" w:frame="1"/>
        </w:rPr>
        <w:lastRenderedPageBreak/>
        <w:t>Эндокринология</w:t>
      </w:r>
    </w:p>
    <w:p w:rsidR="006E4604" w:rsidRDefault="006E4604" w:rsidP="006E4604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Врачи-эндокринологи занимаются комплексным обследованием органов эндокринной системы, диагностикой и лечением. Занимаются обучением основам управления диабетом. Проводят комплексную терапию поздних осложнений сахарного диабета (диабетической полинейропатии, нефропатии, ангиоретинопатии, синдрома диабетической стопы).</w:t>
      </w:r>
    </w:p>
    <w:p w:rsidR="007D7FF9" w:rsidRDefault="007D7FF9">
      <w:bookmarkStart w:id="0" w:name="_GoBack"/>
      <w:bookmarkEnd w:id="0"/>
    </w:p>
    <w:sectPr w:rsidR="007D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A6"/>
    <w:rsid w:val="006E4604"/>
    <w:rsid w:val="007D7FF9"/>
    <w:rsid w:val="009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EC79-4F48-43D5-A093-F09E062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2019-08-29T09:38:00Z</dcterms:created>
  <dcterms:modified xsi:type="dcterms:W3CDTF">2019-08-29T09:38:00Z</dcterms:modified>
</cp:coreProperties>
</file>