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588B" w:rsidRPr="00E14720" w:rsidRDefault="009D588B">
      <w:pPr>
        <w:jc w:val="right"/>
        <w:rPr>
          <w:sz w:val="28"/>
          <w:szCs w:val="28"/>
        </w:rPr>
      </w:pPr>
      <w:r w:rsidRPr="00E14720">
        <w:rPr>
          <w:sz w:val="28"/>
          <w:szCs w:val="28"/>
        </w:rPr>
        <w:t>Приложение № 4</w:t>
      </w:r>
    </w:p>
    <w:p w:rsidR="0040601C" w:rsidRPr="00E14720" w:rsidRDefault="0040601C" w:rsidP="0040601C">
      <w:pPr>
        <w:spacing w:line="240" w:lineRule="auto"/>
        <w:jc w:val="right"/>
        <w:rPr>
          <w:bCs/>
          <w:sz w:val="28"/>
          <w:szCs w:val="28"/>
        </w:rPr>
      </w:pPr>
      <w:r w:rsidRPr="00E14720">
        <w:rPr>
          <w:bCs/>
          <w:sz w:val="28"/>
          <w:szCs w:val="28"/>
        </w:rPr>
        <w:t>к приказу ГУЗ «СГДП №</w:t>
      </w:r>
      <w:r w:rsidR="0046344E">
        <w:rPr>
          <w:bCs/>
          <w:sz w:val="28"/>
          <w:szCs w:val="28"/>
        </w:rPr>
        <w:t xml:space="preserve"> </w:t>
      </w:r>
      <w:r w:rsidRPr="00E14720">
        <w:rPr>
          <w:bCs/>
          <w:sz w:val="28"/>
          <w:szCs w:val="28"/>
        </w:rPr>
        <w:t xml:space="preserve">8» </w:t>
      </w:r>
    </w:p>
    <w:p w:rsidR="0040601C" w:rsidRPr="00E14720" w:rsidRDefault="0040601C" w:rsidP="0040601C">
      <w:pPr>
        <w:spacing w:line="240" w:lineRule="auto"/>
        <w:jc w:val="right"/>
        <w:rPr>
          <w:bCs/>
          <w:sz w:val="28"/>
          <w:szCs w:val="28"/>
        </w:rPr>
      </w:pPr>
      <w:r w:rsidRPr="00E14720">
        <w:rPr>
          <w:bCs/>
          <w:sz w:val="28"/>
          <w:szCs w:val="28"/>
        </w:rPr>
        <w:t>от 17.08.2018 года №375</w:t>
      </w:r>
    </w:p>
    <w:p w:rsidR="007665D0" w:rsidRPr="00E14720" w:rsidRDefault="007665D0">
      <w:pPr>
        <w:pStyle w:val="ListParagraph"/>
        <w:jc w:val="center"/>
        <w:rPr>
          <w:b/>
          <w:bCs/>
          <w:sz w:val="28"/>
          <w:szCs w:val="28"/>
        </w:rPr>
      </w:pPr>
    </w:p>
    <w:p w:rsidR="0046344E" w:rsidRDefault="009D588B">
      <w:pPr>
        <w:pStyle w:val="ListParagraph"/>
        <w:jc w:val="center"/>
        <w:rPr>
          <w:b/>
          <w:bCs/>
          <w:sz w:val="28"/>
          <w:szCs w:val="28"/>
        </w:rPr>
      </w:pPr>
      <w:r w:rsidRPr="00E14720">
        <w:rPr>
          <w:b/>
          <w:bCs/>
          <w:sz w:val="28"/>
          <w:szCs w:val="28"/>
        </w:rPr>
        <w:t xml:space="preserve">Порядок </w:t>
      </w:r>
      <w:r w:rsidR="0040601C" w:rsidRPr="00E14720">
        <w:rPr>
          <w:b/>
          <w:bCs/>
          <w:sz w:val="28"/>
          <w:szCs w:val="28"/>
        </w:rPr>
        <w:t xml:space="preserve">и сроки </w:t>
      </w:r>
      <w:r w:rsidRPr="00E14720">
        <w:rPr>
          <w:b/>
          <w:bCs/>
          <w:sz w:val="28"/>
          <w:szCs w:val="28"/>
        </w:rPr>
        <w:t>госпитализации больных в дневной стационар</w:t>
      </w:r>
      <w:r w:rsidR="0046344E">
        <w:rPr>
          <w:b/>
          <w:bCs/>
          <w:sz w:val="28"/>
          <w:szCs w:val="28"/>
        </w:rPr>
        <w:t xml:space="preserve"> </w:t>
      </w:r>
    </w:p>
    <w:p w:rsidR="009D588B" w:rsidRPr="00E14720" w:rsidRDefault="0046344E">
      <w:pPr>
        <w:pStyle w:val="ListParagraph"/>
        <w:jc w:val="center"/>
        <w:rPr>
          <w:b/>
          <w:bCs/>
          <w:sz w:val="28"/>
          <w:szCs w:val="28"/>
        </w:rPr>
      </w:pPr>
      <w:r>
        <w:rPr>
          <w:b/>
          <w:bCs/>
          <w:sz w:val="28"/>
          <w:szCs w:val="28"/>
        </w:rPr>
        <w:t>ГУЗ «СГДП № 8»</w:t>
      </w:r>
      <w:r w:rsidR="009D588B" w:rsidRPr="00E14720">
        <w:rPr>
          <w:b/>
          <w:bCs/>
          <w:sz w:val="28"/>
          <w:szCs w:val="28"/>
        </w:rPr>
        <w:t xml:space="preserve"> </w:t>
      </w:r>
    </w:p>
    <w:p w:rsidR="009D588B" w:rsidRPr="00E14720" w:rsidRDefault="009D588B">
      <w:pPr>
        <w:rPr>
          <w:b/>
          <w:bCs/>
          <w:sz w:val="28"/>
          <w:szCs w:val="28"/>
        </w:rPr>
      </w:pPr>
    </w:p>
    <w:p w:rsidR="00971495" w:rsidRPr="00E14720" w:rsidRDefault="00971495" w:rsidP="00971495">
      <w:pPr>
        <w:numPr>
          <w:ilvl w:val="3"/>
          <w:numId w:val="17"/>
        </w:numPr>
        <w:ind w:left="284" w:firstLine="567"/>
        <w:jc w:val="both"/>
        <w:rPr>
          <w:sz w:val="28"/>
          <w:szCs w:val="28"/>
        </w:rPr>
      </w:pPr>
      <w:r w:rsidRPr="00E14720">
        <w:rPr>
          <w:sz w:val="28"/>
          <w:szCs w:val="28"/>
        </w:rPr>
        <w:t>В дневной стационар детской поликлиники госпитализируются дети, не требующие круглосуточного медицинского наблюдения, для проведения лечебных и диагностических мероприятий по направлению участкового педиатра и врачей других специальностей, согласно перечня заболеваний, подлежащих лечению в условиях дневного стационара детской поликлиники.</w:t>
      </w:r>
    </w:p>
    <w:p w:rsidR="00971495" w:rsidRPr="00E14720" w:rsidRDefault="00971495" w:rsidP="00971495">
      <w:pPr>
        <w:numPr>
          <w:ilvl w:val="3"/>
          <w:numId w:val="17"/>
        </w:numPr>
        <w:ind w:left="284" w:firstLine="567"/>
        <w:jc w:val="both"/>
        <w:rPr>
          <w:sz w:val="28"/>
          <w:szCs w:val="28"/>
        </w:rPr>
      </w:pPr>
      <w:r w:rsidRPr="00E14720">
        <w:rPr>
          <w:sz w:val="28"/>
          <w:szCs w:val="28"/>
        </w:rPr>
        <w:t xml:space="preserve">Противопоказаниями для лечения в дневном стационаре </w:t>
      </w:r>
      <w:r w:rsidR="0040601C" w:rsidRPr="00E14720">
        <w:rPr>
          <w:sz w:val="28"/>
          <w:szCs w:val="28"/>
        </w:rPr>
        <w:t xml:space="preserve">поликлиники </w:t>
      </w:r>
      <w:r w:rsidRPr="00E14720">
        <w:rPr>
          <w:sz w:val="28"/>
          <w:szCs w:val="28"/>
        </w:rPr>
        <w:t>являются: острые инфекционные заболевания, выраженная декомпенсация и обострение хронических заболеваний.</w:t>
      </w:r>
    </w:p>
    <w:p w:rsidR="000B5571" w:rsidRPr="00E14720" w:rsidRDefault="00971495" w:rsidP="000B5571">
      <w:pPr>
        <w:numPr>
          <w:ilvl w:val="3"/>
          <w:numId w:val="17"/>
        </w:numPr>
        <w:ind w:left="284" w:firstLine="567"/>
        <w:jc w:val="both"/>
        <w:rPr>
          <w:sz w:val="28"/>
          <w:szCs w:val="28"/>
        </w:rPr>
      </w:pPr>
      <w:r w:rsidRPr="00E14720">
        <w:rPr>
          <w:sz w:val="28"/>
          <w:szCs w:val="28"/>
        </w:rPr>
        <w:t>Г</w:t>
      </w:r>
      <w:r w:rsidR="009D588B" w:rsidRPr="00E14720">
        <w:rPr>
          <w:sz w:val="28"/>
          <w:szCs w:val="28"/>
        </w:rPr>
        <w:t>оспитализаци</w:t>
      </w:r>
      <w:r w:rsidRPr="00E14720">
        <w:rPr>
          <w:sz w:val="28"/>
          <w:szCs w:val="28"/>
        </w:rPr>
        <w:t>я</w:t>
      </w:r>
      <w:r w:rsidR="009D588B" w:rsidRPr="00E14720">
        <w:rPr>
          <w:sz w:val="28"/>
          <w:szCs w:val="28"/>
        </w:rPr>
        <w:t xml:space="preserve"> детей в дневной стационар поликлиники </w:t>
      </w:r>
      <w:r w:rsidRPr="00E14720">
        <w:rPr>
          <w:sz w:val="28"/>
          <w:szCs w:val="28"/>
        </w:rPr>
        <w:t xml:space="preserve">осуществляется </w:t>
      </w:r>
      <w:r w:rsidR="006F27C6" w:rsidRPr="00E14720">
        <w:rPr>
          <w:sz w:val="28"/>
          <w:szCs w:val="28"/>
        </w:rPr>
        <w:t>по направлению врача-специалиста, который определяет срочность госпитализации</w:t>
      </w:r>
      <w:r w:rsidR="0040601C" w:rsidRPr="00E14720">
        <w:rPr>
          <w:sz w:val="28"/>
          <w:szCs w:val="28"/>
        </w:rPr>
        <w:t>, но не более 30 календарных дней</w:t>
      </w:r>
      <w:r w:rsidR="006F27C6" w:rsidRPr="00E14720">
        <w:rPr>
          <w:sz w:val="28"/>
          <w:szCs w:val="28"/>
        </w:rPr>
        <w:t xml:space="preserve"> </w:t>
      </w:r>
      <w:r w:rsidR="0040601C" w:rsidRPr="00E14720">
        <w:rPr>
          <w:sz w:val="28"/>
          <w:szCs w:val="28"/>
        </w:rPr>
        <w:t>с даты направления (в соответствии с ПГГ).</w:t>
      </w:r>
    </w:p>
    <w:p w:rsidR="000B5571" w:rsidRPr="00E14720" w:rsidRDefault="000B5571" w:rsidP="000B5571">
      <w:pPr>
        <w:numPr>
          <w:ilvl w:val="3"/>
          <w:numId w:val="17"/>
        </w:numPr>
        <w:ind w:left="284" w:firstLine="567"/>
        <w:jc w:val="both"/>
        <w:rPr>
          <w:sz w:val="28"/>
          <w:szCs w:val="28"/>
        </w:rPr>
      </w:pPr>
      <w:r w:rsidRPr="00E14720">
        <w:rPr>
          <w:sz w:val="28"/>
          <w:szCs w:val="28"/>
        </w:rPr>
        <w:t xml:space="preserve">При приеме в дневной стационар пациент должен быть первично осмотрен врачом дневного стационара, поскольку план мероприятий по лечению (дату начала лечения, длительность курса лечения, методы обследования, время прихода и длительность пребывания в дневном стационаре и др.) определяет врач дневного стационара для каждого больного индивидуально.  </w:t>
      </w:r>
    </w:p>
    <w:p w:rsidR="006F27C6" w:rsidRPr="00E14720" w:rsidRDefault="00971495" w:rsidP="006F27C6">
      <w:pPr>
        <w:numPr>
          <w:ilvl w:val="3"/>
          <w:numId w:val="17"/>
        </w:numPr>
        <w:ind w:left="284" w:firstLine="567"/>
        <w:jc w:val="both"/>
        <w:rPr>
          <w:sz w:val="28"/>
          <w:szCs w:val="28"/>
        </w:rPr>
      </w:pPr>
      <w:r w:rsidRPr="00E14720">
        <w:rPr>
          <w:sz w:val="28"/>
          <w:szCs w:val="28"/>
        </w:rPr>
        <w:t xml:space="preserve">При </w:t>
      </w:r>
      <w:r w:rsidR="000B5571" w:rsidRPr="00E14720">
        <w:rPr>
          <w:sz w:val="28"/>
          <w:szCs w:val="28"/>
        </w:rPr>
        <w:t xml:space="preserve">госпитализации необходимо </w:t>
      </w:r>
      <w:r w:rsidRPr="00E14720">
        <w:rPr>
          <w:sz w:val="28"/>
          <w:szCs w:val="28"/>
        </w:rPr>
        <w:t xml:space="preserve">иметь </w:t>
      </w:r>
      <w:r w:rsidR="0040601C" w:rsidRPr="00E14720">
        <w:rPr>
          <w:sz w:val="28"/>
          <w:szCs w:val="28"/>
        </w:rPr>
        <w:t>справку</w:t>
      </w:r>
      <w:r w:rsidR="009D588B" w:rsidRPr="00E14720">
        <w:rPr>
          <w:sz w:val="28"/>
          <w:szCs w:val="28"/>
        </w:rPr>
        <w:t xml:space="preserve"> об отсутстви</w:t>
      </w:r>
      <w:r w:rsidR="006F27C6" w:rsidRPr="00E14720">
        <w:rPr>
          <w:sz w:val="28"/>
          <w:szCs w:val="28"/>
        </w:rPr>
        <w:t>и</w:t>
      </w:r>
      <w:r w:rsidR="009D588B" w:rsidRPr="00E14720">
        <w:rPr>
          <w:sz w:val="28"/>
          <w:szCs w:val="28"/>
        </w:rPr>
        <w:t xml:space="preserve"> контакта с инфекционными больными, </w:t>
      </w:r>
      <w:r w:rsidR="0040601C" w:rsidRPr="00E14720">
        <w:rPr>
          <w:sz w:val="28"/>
          <w:szCs w:val="28"/>
        </w:rPr>
        <w:t xml:space="preserve">результаты </w:t>
      </w:r>
      <w:r w:rsidR="009D588B" w:rsidRPr="00E14720">
        <w:rPr>
          <w:sz w:val="28"/>
          <w:szCs w:val="28"/>
        </w:rPr>
        <w:t>осмотра на чесотку и педикулез</w:t>
      </w:r>
      <w:r w:rsidRPr="00E14720">
        <w:rPr>
          <w:sz w:val="28"/>
          <w:szCs w:val="28"/>
        </w:rPr>
        <w:t xml:space="preserve"> от врача-педиатра участкового</w:t>
      </w:r>
      <w:r w:rsidR="009D588B" w:rsidRPr="00E14720">
        <w:rPr>
          <w:sz w:val="28"/>
          <w:szCs w:val="28"/>
        </w:rPr>
        <w:t>.</w:t>
      </w:r>
      <w:r w:rsidR="006F27C6" w:rsidRPr="00E14720">
        <w:rPr>
          <w:sz w:val="28"/>
          <w:szCs w:val="28"/>
        </w:rPr>
        <w:t xml:space="preserve"> Срок действия данной справки – 3 суток.</w:t>
      </w:r>
    </w:p>
    <w:p w:rsidR="006F27C6" w:rsidRPr="00E14720" w:rsidRDefault="009D588B" w:rsidP="006F27C6">
      <w:pPr>
        <w:numPr>
          <w:ilvl w:val="3"/>
          <w:numId w:val="17"/>
        </w:numPr>
        <w:ind w:left="284" w:firstLine="567"/>
        <w:jc w:val="both"/>
        <w:rPr>
          <w:sz w:val="28"/>
          <w:szCs w:val="28"/>
        </w:rPr>
      </w:pPr>
      <w:r w:rsidRPr="00E14720">
        <w:rPr>
          <w:sz w:val="28"/>
          <w:szCs w:val="28"/>
        </w:rPr>
        <w:t>Амбулаторная карта ребенка остается в дневном стационаре на весь период его лечения и на руки больному или его родителям не выдается.</w:t>
      </w:r>
    </w:p>
    <w:p w:rsidR="006F27C6" w:rsidRPr="00E14720" w:rsidRDefault="009D588B" w:rsidP="006F27C6">
      <w:pPr>
        <w:numPr>
          <w:ilvl w:val="3"/>
          <w:numId w:val="17"/>
        </w:numPr>
        <w:ind w:left="284" w:firstLine="567"/>
        <w:jc w:val="both"/>
        <w:rPr>
          <w:sz w:val="28"/>
          <w:szCs w:val="28"/>
        </w:rPr>
      </w:pPr>
      <w:r w:rsidRPr="00E14720">
        <w:rPr>
          <w:sz w:val="28"/>
          <w:szCs w:val="28"/>
        </w:rPr>
        <w:t>По окончани</w:t>
      </w:r>
      <w:r w:rsidR="006F27C6" w:rsidRPr="00E14720">
        <w:rPr>
          <w:sz w:val="28"/>
          <w:szCs w:val="28"/>
        </w:rPr>
        <w:t>и</w:t>
      </w:r>
      <w:r w:rsidRPr="00E14720">
        <w:rPr>
          <w:sz w:val="28"/>
          <w:szCs w:val="28"/>
        </w:rPr>
        <w:t xml:space="preserve"> лечения ребенка в дневном стационаре </w:t>
      </w:r>
      <w:r w:rsidR="00971495" w:rsidRPr="00E14720">
        <w:rPr>
          <w:sz w:val="28"/>
          <w:szCs w:val="28"/>
        </w:rPr>
        <w:t xml:space="preserve">врач </w:t>
      </w:r>
      <w:r w:rsidR="006F27C6" w:rsidRPr="00E14720">
        <w:rPr>
          <w:sz w:val="28"/>
          <w:szCs w:val="28"/>
        </w:rPr>
        <w:t>предоставляет</w:t>
      </w:r>
      <w:r w:rsidR="00734E8D" w:rsidRPr="00E14720">
        <w:rPr>
          <w:sz w:val="28"/>
          <w:szCs w:val="28"/>
        </w:rPr>
        <w:t xml:space="preserve"> </w:t>
      </w:r>
      <w:r w:rsidR="006F27C6" w:rsidRPr="00E14720">
        <w:rPr>
          <w:sz w:val="28"/>
          <w:szCs w:val="28"/>
        </w:rPr>
        <w:t xml:space="preserve">выписку из медицинской карты стационарного больного (вклеивается в </w:t>
      </w:r>
      <w:r w:rsidR="00971495" w:rsidRPr="00E14720">
        <w:rPr>
          <w:sz w:val="28"/>
          <w:szCs w:val="28"/>
        </w:rPr>
        <w:t>амбулаторную карту</w:t>
      </w:r>
      <w:r w:rsidR="006F27C6" w:rsidRPr="00E14720">
        <w:rPr>
          <w:sz w:val="28"/>
          <w:szCs w:val="28"/>
        </w:rPr>
        <w:t xml:space="preserve"> ребенка)</w:t>
      </w:r>
      <w:r w:rsidRPr="00E14720">
        <w:rPr>
          <w:sz w:val="28"/>
          <w:szCs w:val="28"/>
        </w:rPr>
        <w:t>.</w:t>
      </w:r>
    </w:p>
    <w:p w:rsidR="009D588B" w:rsidRPr="00E14720" w:rsidRDefault="009D588B" w:rsidP="006F27C6">
      <w:pPr>
        <w:numPr>
          <w:ilvl w:val="3"/>
          <w:numId w:val="17"/>
        </w:numPr>
        <w:ind w:left="284" w:firstLine="567"/>
        <w:jc w:val="both"/>
        <w:rPr>
          <w:sz w:val="28"/>
          <w:szCs w:val="28"/>
        </w:rPr>
      </w:pPr>
      <w:r w:rsidRPr="00E14720">
        <w:rPr>
          <w:sz w:val="28"/>
          <w:szCs w:val="28"/>
        </w:rPr>
        <w:t>После выписки из дневного стационара врач-специалист анализирует данные проведенного обследования и лечения, оценивает эффективность госпитализации, оформляет в медицинской документации ребенка план наблюдения и реабилитации.</w:t>
      </w:r>
    </w:p>
    <w:p w:rsidR="009D588B" w:rsidRPr="00E14720" w:rsidRDefault="009D588B" w:rsidP="00971495">
      <w:pPr>
        <w:ind w:left="284" w:firstLine="567"/>
        <w:rPr>
          <w:sz w:val="28"/>
          <w:szCs w:val="28"/>
        </w:rPr>
      </w:pPr>
    </w:p>
    <w:p w:rsidR="009D588B" w:rsidRPr="00E14720" w:rsidRDefault="009D588B" w:rsidP="00971495">
      <w:pPr>
        <w:ind w:left="284" w:firstLine="567"/>
        <w:rPr>
          <w:sz w:val="28"/>
          <w:szCs w:val="28"/>
        </w:rPr>
      </w:pPr>
    </w:p>
    <w:p w:rsidR="009D588B" w:rsidRDefault="009D588B">
      <w:pPr>
        <w:rPr>
          <w:sz w:val="28"/>
          <w:szCs w:val="28"/>
        </w:rPr>
      </w:pPr>
    </w:p>
    <w:p w:rsidR="00673773" w:rsidRDefault="00673773">
      <w:pPr>
        <w:rPr>
          <w:sz w:val="28"/>
          <w:szCs w:val="28"/>
        </w:rPr>
      </w:pPr>
    </w:p>
    <w:p w:rsidR="00673773" w:rsidRDefault="00673773">
      <w:pPr>
        <w:rPr>
          <w:sz w:val="28"/>
          <w:szCs w:val="28"/>
        </w:rPr>
      </w:pPr>
    </w:p>
    <w:p w:rsidR="00673773" w:rsidRDefault="00673773">
      <w:pPr>
        <w:rPr>
          <w:sz w:val="28"/>
          <w:szCs w:val="28"/>
        </w:rPr>
      </w:pPr>
    </w:p>
    <w:p w:rsidR="00673773" w:rsidRPr="00E14720" w:rsidRDefault="00673773">
      <w:pPr>
        <w:rPr>
          <w:sz w:val="28"/>
          <w:szCs w:val="28"/>
        </w:rPr>
      </w:pPr>
    </w:p>
    <w:p w:rsidR="009D588B" w:rsidRPr="00E14720" w:rsidRDefault="009D588B">
      <w:pPr>
        <w:rPr>
          <w:sz w:val="28"/>
          <w:szCs w:val="28"/>
        </w:rPr>
      </w:pPr>
    </w:p>
    <w:p w:rsidR="009D588B" w:rsidRPr="00E14720" w:rsidRDefault="009D588B">
      <w:pPr>
        <w:jc w:val="right"/>
        <w:rPr>
          <w:sz w:val="28"/>
          <w:szCs w:val="28"/>
        </w:rPr>
      </w:pPr>
      <w:r w:rsidRPr="00E14720">
        <w:rPr>
          <w:sz w:val="28"/>
          <w:szCs w:val="28"/>
        </w:rPr>
        <w:t>Приложение № 5</w:t>
      </w:r>
    </w:p>
    <w:p w:rsidR="00D227CD" w:rsidRPr="00E14720" w:rsidRDefault="00D227CD" w:rsidP="00D227CD">
      <w:pPr>
        <w:spacing w:line="240" w:lineRule="auto"/>
        <w:jc w:val="right"/>
        <w:rPr>
          <w:bCs/>
          <w:sz w:val="28"/>
          <w:szCs w:val="28"/>
        </w:rPr>
      </w:pPr>
      <w:r w:rsidRPr="00E14720">
        <w:rPr>
          <w:bCs/>
          <w:sz w:val="28"/>
          <w:szCs w:val="28"/>
        </w:rPr>
        <w:t xml:space="preserve">к приказу ГУЗ «СГДП №8» </w:t>
      </w:r>
    </w:p>
    <w:p w:rsidR="00D227CD" w:rsidRPr="00E14720" w:rsidRDefault="00D227CD" w:rsidP="00D227CD">
      <w:pPr>
        <w:spacing w:line="240" w:lineRule="auto"/>
        <w:jc w:val="right"/>
        <w:rPr>
          <w:bCs/>
          <w:sz w:val="28"/>
          <w:szCs w:val="28"/>
        </w:rPr>
      </w:pPr>
      <w:r w:rsidRPr="00E14720">
        <w:rPr>
          <w:bCs/>
          <w:sz w:val="28"/>
          <w:szCs w:val="28"/>
        </w:rPr>
        <w:t>от 17.08.2018 года №375</w:t>
      </w:r>
    </w:p>
    <w:p w:rsidR="009D588B" w:rsidRPr="00E14720" w:rsidRDefault="009D588B">
      <w:pPr>
        <w:jc w:val="right"/>
        <w:rPr>
          <w:sz w:val="28"/>
          <w:szCs w:val="28"/>
        </w:rPr>
      </w:pPr>
    </w:p>
    <w:p w:rsidR="006C4822" w:rsidRPr="00E14720" w:rsidRDefault="006C4822">
      <w:pPr>
        <w:jc w:val="right"/>
        <w:rPr>
          <w:sz w:val="28"/>
          <w:szCs w:val="28"/>
        </w:rPr>
      </w:pPr>
    </w:p>
    <w:p w:rsidR="009D588B" w:rsidRPr="00E14720" w:rsidRDefault="009D588B">
      <w:pPr>
        <w:jc w:val="center"/>
        <w:rPr>
          <w:b/>
          <w:bCs/>
          <w:sz w:val="28"/>
          <w:szCs w:val="28"/>
        </w:rPr>
      </w:pPr>
      <w:r w:rsidRPr="00E14720">
        <w:rPr>
          <w:b/>
          <w:bCs/>
          <w:sz w:val="28"/>
          <w:szCs w:val="28"/>
        </w:rPr>
        <w:t xml:space="preserve">Правила для больных, </w:t>
      </w:r>
    </w:p>
    <w:p w:rsidR="009D588B" w:rsidRDefault="009D588B">
      <w:pPr>
        <w:jc w:val="center"/>
        <w:rPr>
          <w:b/>
          <w:bCs/>
          <w:sz w:val="28"/>
          <w:szCs w:val="28"/>
        </w:rPr>
      </w:pPr>
      <w:r w:rsidRPr="00E14720">
        <w:rPr>
          <w:b/>
          <w:bCs/>
          <w:sz w:val="28"/>
          <w:szCs w:val="28"/>
        </w:rPr>
        <w:t xml:space="preserve">поступающих и находящихся на лечении в дневном стационаре </w:t>
      </w:r>
    </w:p>
    <w:p w:rsidR="00D30A33" w:rsidRPr="00E14720" w:rsidRDefault="00D30A33">
      <w:pPr>
        <w:jc w:val="center"/>
        <w:rPr>
          <w:b/>
          <w:bCs/>
          <w:sz w:val="28"/>
          <w:szCs w:val="28"/>
        </w:rPr>
      </w:pPr>
      <w:r>
        <w:rPr>
          <w:b/>
          <w:bCs/>
          <w:sz w:val="28"/>
          <w:szCs w:val="28"/>
        </w:rPr>
        <w:t>ГУЗ «СГДП № 8»</w:t>
      </w:r>
    </w:p>
    <w:p w:rsidR="009D588B" w:rsidRPr="00E14720" w:rsidRDefault="009D588B">
      <w:pPr>
        <w:rPr>
          <w:sz w:val="28"/>
          <w:szCs w:val="28"/>
        </w:rPr>
      </w:pPr>
    </w:p>
    <w:p w:rsidR="009D588B" w:rsidRPr="00E14720" w:rsidRDefault="009D588B" w:rsidP="006F27C6">
      <w:pPr>
        <w:numPr>
          <w:ilvl w:val="0"/>
          <w:numId w:val="23"/>
        </w:numPr>
        <w:jc w:val="both"/>
        <w:rPr>
          <w:sz w:val="28"/>
          <w:szCs w:val="28"/>
        </w:rPr>
      </w:pPr>
      <w:r w:rsidRPr="00E14720">
        <w:rPr>
          <w:sz w:val="28"/>
          <w:szCs w:val="28"/>
        </w:rPr>
        <w:t xml:space="preserve">Первичное посещение ребенком дневного стационара осуществляется в сопровождении родителей, опекуна или других родственников. Сопровождение ребенка в дневной стационар, в предписанное время при последующих посещениях, определяется лечащим врачом. Родителям, опекуну или другому родственнику, сопровождающего ребенка в возрасте до 15 лет, лечащий врач дневного стационара вправе выдать лист нетрудоспособности, как по уходу за больным ребенком, согласно положения приказа МЗ и СР РФ от </w:t>
      </w:r>
      <w:r w:rsidR="00734E8D" w:rsidRPr="00E14720">
        <w:rPr>
          <w:sz w:val="28"/>
          <w:szCs w:val="28"/>
        </w:rPr>
        <w:t>29.08.2011</w:t>
      </w:r>
      <w:r w:rsidRPr="00E14720">
        <w:rPr>
          <w:sz w:val="28"/>
          <w:szCs w:val="28"/>
        </w:rPr>
        <w:t xml:space="preserve"> года №</w:t>
      </w:r>
      <w:r w:rsidR="00734E8D" w:rsidRPr="00E14720">
        <w:rPr>
          <w:sz w:val="28"/>
          <w:szCs w:val="28"/>
        </w:rPr>
        <w:t xml:space="preserve"> 624</w:t>
      </w:r>
      <w:r w:rsidRPr="00E14720">
        <w:rPr>
          <w:sz w:val="28"/>
          <w:szCs w:val="28"/>
        </w:rPr>
        <w:t xml:space="preserve"> «О порядке выдачи медицинскими организациями листов нетрудоспособности».</w:t>
      </w:r>
    </w:p>
    <w:p w:rsidR="009D588B" w:rsidRPr="00E14720" w:rsidRDefault="009D588B" w:rsidP="006F27C6">
      <w:pPr>
        <w:numPr>
          <w:ilvl w:val="0"/>
          <w:numId w:val="23"/>
        </w:numPr>
        <w:jc w:val="both"/>
        <w:rPr>
          <w:sz w:val="28"/>
          <w:szCs w:val="28"/>
        </w:rPr>
      </w:pPr>
      <w:r w:rsidRPr="00E14720">
        <w:rPr>
          <w:sz w:val="28"/>
          <w:szCs w:val="28"/>
        </w:rPr>
        <w:t>На период лечения в дневном стационаре ребенок освобождается от посещения детских дошкольных учреждений и школ.</w:t>
      </w:r>
    </w:p>
    <w:p w:rsidR="009D588B" w:rsidRPr="00E14720" w:rsidRDefault="009D588B" w:rsidP="006F27C6">
      <w:pPr>
        <w:numPr>
          <w:ilvl w:val="0"/>
          <w:numId w:val="23"/>
        </w:numPr>
        <w:jc w:val="both"/>
        <w:rPr>
          <w:sz w:val="28"/>
          <w:szCs w:val="28"/>
        </w:rPr>
      </w:pPr>
      <w:r w:rsidRPr="00E14720">
        <w:rPr>
          <w:sz w:val="28"/>
          <w:szCs w:val="28"/>
        </w:rPr>
        <w:t>При возникновении у ребенка острого инфекционного заболевания или другого состояния, препятствующего посещению им дневного стационара, родители, опекуны или другие родственники должны незамедлительно об этом оповестить врача или медицинскую сестру дневного стационара по телефону 92-14-70. История болезни данного ребенка закрывается днем, предшествующим начала острого заболевания или другого состояния, препятствующего нахождению в дневном стационаре.</w:t>
      </w:r>
    </w:p>
    <w:p w:rsidR="009D588B" w:rsidRPr="00E14720" w:rsidRDefault="009D588B" w:rsidP="006F27C6">
      <w:pPr>
        <w:numPr>
          <w:ilvl w:val="0"/>
          <w:numId w:val="23"/>
        </w:numPr>
        <w:jc w:val="both"/>
        <w:rPr>
          <w:sz w:val="28"/>
          <w:szCs w:val="28"/>
        </w:rPr>
      </w:pPr>
      <w:r w:rsidRPr="00E14720">
        <w:rPr>
          <w:sz w:val="28"/>
          <w:szCs w:val="28"/>
        </w:rPr>
        <w:t>Осмотр больного ребенка врачом дневного стационара осуществляется:</w:t>
      </w:r>
      <w:r w:rsidR="00525BD4" w:rsidRPr="00E14720">
        <w:rPr>
          <w:sz w:val="28"/>
          <w:szCs w:val="28"/>
        </w:rPr>
        <w:t xml:space="preserve"> </w:t>
      </w:r>
      <w:r w:rsidRPr="00E14720">
        <w:rPr>
          <w:sz w:val="28"/>
          <w:szCs w:val="28"/>
        </w:rPr>
        <w:t>в день поступления, в процессе лечения и обследования, а также в день выписки</w:t>
      </w:r>
      <w:r w:rsidR="006F27C6" w:rsidRPr="00E14720">
        <w:rPr>
          <w:sz w:val="28"/>
          <w:szCs w:val="28"/>
        </w:rPr>
        <w:t>,</w:t>
      </w:r>
      <w:r w:rsidRPr="00E14720">
        <w:rPr>
          <w:sz w:val="28"/>
          <w:szCs w:val="28"/>
        </w:rPr>
        <w:t xml:space="preserve"> включая консультации необходимых специалистов. Категорически запрещается самостоятельное посещение врачей специалистов, без ведома сотрудников дневного стационара и незапланированных лечащим врачом.</w:t>
      </w:r>
    </w:p>
    <w:p w:rsidR="009D588B" w:rsidRPr="00E14720" w:rsidRDefault="009D588B" w:rsidP="006F27C6">
      <w:pPr>
        <w:numPr>
          <w:ilvl w:val="0"/>
          <w:numId w:val="23"/>
        </w:numPr>
        <w:jc w:val="both"/>
        <w:rPr>
          <w:sz w:val="28"/>
          <w:szCs w:val="28"/>
        </w:rPr>
      </w:pPr>
      <w:r w:rsidRPr="00E14720">
        <w:rPr>
          <w:sz w:val="28"/>
          <w:szCs w:val="28"/>
        </w:rPr>
        <w:t>Ежедневные прием, осмотр и термометрия ребенка, проведение лечебных и диагностических мероприятий, консультации врачей, согласно назначений лечащего врача, осуществляются под контролем медицинской сестры стационара.</w:t>
      </w:r>
    </w:p>
    <w:p w:rsidR="009D588B" w:rsidRPr="00E14720" w:rsidRDefault="009D588B" w:rsidP="006F27C6">
      <w:pPr>
        <w:numPr>
          <w:ilvl w:val="0"/>
          <w:numId w:val="23"/>
        </w:numPr>
        <w:jc w:val="both"/>
        <w:rPr>
          <w:sz w:val="28"/>
          <w:szCs w:val="28"/>
        </w:rPr>
      </w:pPr>
      <w:r w:rsidRPr="00E14720">
        <w:rPr>
          <w:sz w:val="28"/>
          <w:szCs w:val="28"/>
        </w:rPr>
        <w:t>Физиолечение и массаж, ЛФК, назначаются врачом-физиотерапевтом и ЛФК после осмотра ребенка, в количестве, которое, по его мнению, наиболее целесообразно.</w:t>
      </w:r>
    </w:p>
    <w:p w:rsidR="009D588B" w:rsidRPr="00E14720" w:rsidRDefault="009D588B" w:rsidP="00525BD4">
      <w:pPr>
        <w:ind w:left="709" w:firstLine="11"/>
        <w:jc w:val="both"/>
        <w:rPr>
          <w:sz w:val="28"/>
          <w:szCs w:val="28"/>
        </w:rPr>
      </w:pPr>
      <w:r w:rsidRPr="00E14720">
        <w:rPr>
          <w:sz w:val="28"/>
          <w:szCs w:val="28"/>
        </w:rPr>
        <w:t>После сеанса физио</w:t>
      </w:r>
      <w:r w:rsidR="00384C46" w:rsidRPr="00E14720">
        <w:rPr>
          <w:sz w:val="28"/>
          <w:szCs w:val="28"/>
        </w:rPr>
        <w:t>терапии</w:t>
      </w:r>
      <w:r w:rsidRPr="00E14720">
        <w:rPr>
          <w:sz w:val="28"/>
          <w:szCs w:val="28"/>
        </w:rPr>
        <w:t xml:space="preserve"> и массажа </w:t>
      </w:r>
      <w:r w:rsidR="00384C46" w:rsidRPr="00E14720">
        <w:rPr>
          <w:sz w:val="28"/>
          <w:szCs w:val="28"/>
        </w:rPr>
        <w:t>р</w:t>
      </w:r>
      <w:r w:rsidRPr="00E14720">
        <w:rPr>
          <w:sz w:val="28"/>
          <w:szCs w:val="28"/>
        </w:rPr>
        <w:t>ебенок в течение не менее 30 минут должен отдохнуть на предоставленной ему койке.</w:t>
      </w:r>
    </w:p>
    <w:p w:rsidR="009D588B" w:rsidRPr="00E14720" w:rsidRDefault="009D588B" w:rsidP="00525BD4">
      <w:pPr>
        <w:ind w:left="709"/>
        <w:jc w:val="both"/>
        <w:rPr>
          <w:sz w:val="28"/>
          <w:szCs w:val="28"/>
        </w:rPr>
      </w:pPr>
      <w:r w:rsidRPr="00E14720">
        <w:rPr>
          <w:sz w:val="28"/>
          <w:szCs w:val="28"/>
        </w:rPr>
        <w:lastRenderedPageBreak/>
        <w:t>Пропущенные без уважительной причины сеансы физио</w:t>
      </w:r>
      <w:r w:rsidR="00384C46" w:rsidRPr="00E14720">
        <w:rPr>
          <w:sz w:val="28"/>
          <w:szCs w:val="28"/>
        </w:rPr>
        <w:t>терапии</w:t>
      </w:r>
      <w:r w:rsidRPr="00E14720">
        <w:rPr>
          <w:sz w:val="28"/>
          <w:szCs w:val="28"/>
        </w:rPr>
        <w:t>, массажа и другие предписанные процедуры не восполняются.</w:t>
      </w:r>
    </w:p>
    <w:p w:rsidR="009D588B" w:rsidRPr="00E14720" w:rsidRDefault="00525BD4" w:rsidP="006F27C6">
      <w:pPr>
        <w:numPr>
          <w:ilvl w:val="0"/>
          <w:numId w:val="23"/>
        </w:numPr>
        <w:jc w:val="both"/>
        <w:rPr>
          <w:sz w:val="28"/>
          <w:szCs w:val="28"/>
        </w:rPr>
      </w:pPr>
      <w:r w:rsidRPr="00E14720">
        <w:rPr>
          <w:sz w:val="28"/>
          <w:szCs w:val="28"/>
        </w:rPr>
        <w:t>П</w:t>
      </w:r>
      <w:r w:rsidR="009D588B" w:rsidRPr="00E14720">
        <w:rPr>
          <w:sz w:val="28"/>
          <w:szCs w:val="28"/>
        </w:rPr>
        <w:t>ри нахождении в дневном стационаре неукоснительно выполнять требования и рекомендации медицинского персонала. При неявке в дневной стационар без уважительной причины и невыполнении требований медицинского персонала, как самим больным, так и его сопровождающим, производится досрочная выписка из стационара. О чем сообщается немедленно врачу, направившему на лечение.</w:t>
      </w:r>
    </w:p>
    <w:p w:rsidR="009D588B" w:rsidRPr="00E14720" w:rsidRDefault="00525BD4" w:rsidP="006F27C6">
      <w:pPr>
        <w:numPr>
          <w:ilvl w:val="0"/>
          <w:numId w:val="23"/>
        </w:numPr>
        <w:jc w:val="both"/>
        <w:rPr>
          <w:sz w:val="28"/>
          <w:szCs w:val="28"/>
        </w:rPr>
      </w:pPr>
      <w:r w:rsidRPr="00E14720">
        <w:rPr>
          <w:sz w:val="28"/>
          <w:szCs w:val="28"/>
        </w:rPr>
        <w:t>П</w:t>
      </w:r>
      <w:r w:rsidR="009D588B" w:rsidRPr="00E14720">
        <w:rPr>
          <w:sz w:val="28"/>
          <w:szCs w:val="28"/>
        </w:rPr>
        <w:t>ри поступлении в дневной стационар больной должен иметь:</w:t>
      </w:r>
    </w:p>
    <w:p w:rsidR="009D588B" w:rsidRPr="00E14720" w:rsidRDefault="009D588B" w:rsidP="00525BD4">
      <w:pPr>
        <w:numPr>
          <w:ilvl w:val="0"/>
          <w:numId w:val="19"/>
        </w:numPr>
        <w:ind w:left="426" w:hanging="11"/>
        <w:jc w:val="both"/>
        <w:rPr>
          <w:sz w:val="28"/>
          <w:szCs w:val="28"/>
        </w:rPr>
      </w:pPr>
      <w:r w:rsidRPr="00E14720">
        <w:rPr>
          <w:sz w:val="28"/>
          <w:szCs w:val="28"/>
        </w:rPr>
        <w:t xml:space="preserve">направление лечащего врача </w:t>
      </w:r>
    </w:p>
    <w:p w:rsidR="009D588B" w:rsidRPr="00E14720" w:rsidRDefault="009D588B" w:rsidP="00525BD4">
      <w:pPr>
        <w:numPr>
          <w:ilvl w:val="0"/>
          <w:numId w:val="19"/>
        </w:numPr>
        <w:ind w:left="426" w:hanging="11"/>
        <w:jc w:val="both"/>
        <w:rPr>
          <w:sz w:val="28"/>
          <w:szCs w:val="28"/>
        </w:rPr>
      </w:pPr>
      <w:r w:rsidRPr="00E14720">
        <w:rPr>
          <w:sz w:val="28"/>
          <w:szCs w:val="28"/>
        </w:rPr>
        <w:t xml:space="preserve">амбулаторную карту (которая остается в дневном стационаре на весь период </w:t>
      </w:r>
      <w:r w:rsidR="00525BD4" w:rsidRPr="00E14720">
        <w:rPr>
          <w:sz w:val="28"/>
          <w:szCs w:val="28"/>
        </w:rPr>
        <w:t>ле</w:t>
      </w:r>
      <w:r w:rsidRPr="00E14720">
        <w:rPr>
          <w:sz w:val="28"/>
          <w:szCs w:val="28"/>
        </w:rPr>
        <w:t>чения)</w:t>
      </w:r>
    </w:p>
    <w:p w:rsidR="009D588B" w:rsidRPr="00E14720" w:rsidRDefault="009D588B" w:rsidP="00525BD4">
      <w:pPr>
        <w:numPr>
          <w:ilvl w:val="0"/>
          <w:numId w:val="19"/>
        </w:numPr>
        <w:ind w:left="426" w:hanging="11"/>
        <w:jc w:val="both"/>
        <w:rPr>
          <w:sz w:val="28"/>
          <w:szCs w:val="28"/>
        </w:rPr>
      </w:pPr>
      <w:r w:rsidRPr="00E14720">
        <w:rPr>
          <w:sz w:val="28"/>
          <w:szCs w:val="28"/>
        </w:rPr>
        <w:t>сменную обувь</w:t>
      </w:r>
    </w:p>
    <w:p w:rsidR="009D588B" w:rsidRPr="00E14720" w:rsidRDefault="009D588B" w:rsidP="00525BD4">
      <w:pPr>
        <w:numPr>
          <w:ilvl w:val="0"/>
          <w:numId w:val="19"/>
        </w:numPr>
        <w:ind w:left="426" w:hanging="11"/>
        <w:jc w:val="both"/>
        <w:rPr>
          <w:sz w:val="28"/>
          <w:szCs w:val="28"/>
        </w:rPr>
      </w:pPr>
      <w:r w:rsidRPr="00E14720">
        <w:rPr>
          <w:sz w:val="28"/>
          <w:szCs w:val="28"/>
        </w:rPr>
        <w:t>чистую простынь или пеленку, полотенце, бокал.</w:t>
      </w:r>
    </w:p>
    <w:p w:rsidR="009D588B" w:rsidRPr="00E14720" w:rsidRDefault="009D588B" w:rsidP="006F27C6">
      <w:pPr>
        <w:numPr>
          <w:ilvl w:val="0"/>
          <w:numId w:val="23"/>
        </w:numPr>
        <w:jc w:val="both"/>
        <w:rPr>
          <w:sz w:val="28"/>
          <w:szCs w:val="28"/>
        </w:rPr>
      </w:pPr>
      <w:r w:rsidRPr="00E14720">
        <w:rPr>
          <w:sz w:val="28"/>
          <w:szCs w:val="28"/>
        </w:rPr>
        <w:t>Питанием больные, находящиеся на лечении в дневном стационаре, не обеспечиваются.</w:t>
      </w:r>
    </w:p>
    <w:p w:rsidR="00525BD4" w:rsidRPr="00E14720" w:rsidRDefault="00525BD4" w:rsidP="00525BD4">
      <w:pPr>
        <w:jc w:val="both"/>
        <w:rPr>
          <w:sz w:val="28"/>
          <w:szCs w:val="28"/>
        </w:rPr>
      </w:pPr>
    </w:p>
    <w:p w:rsidR="005201A3" w:rsidRPr="00E14720" w:rsidRDefault="005201A3" w:rsidP="005201A3">
      <w:pPr>
        <w:jc w:val="right"/>
        <w:rPr>
          <w:sz w:val="28"/>
          <w:szCs w:val="28"/>
        </w:rPr>
      </w:pPr>
      <w:r w:rsidRPr="00E14720">
        <w:rPr>
          <w:sz w:val="28"/>
          <w:szCs w:val="28"/>
        </w:rPr>
        <w:t xml:space="preserve">Приложение № </w:t>
      </w:r>
      <w:r>
        <w:rPr>
          <w:sz w:val="28"/>
          <w:szCs w:val="28"/>
        </w:rPr>
        <w:t>9</w:t>
      </w:r>
    </w:p>
    <w:p w:rsidR="005201A3" w:rsidRPr="00E14720" w:rsidRDefault="005201A3" w:rsidP="005201A3">
      <w:pPr>
        <w:spacing w:line="240" w:lineRule="auto"/>
        <w:jc w:val="right"/>
        <w:rPr>
          <w:bCs/>
          <w:sz w:val="28"/>
          <w:szCs w:val="28"/>
        </w:rPr>
      </w:pPr>
      <w:r w:rsidRPr="00E14720">
        <w:rPr>
          <w:bCs/>
          <w:sz w:val="28"/>
          <w:szCs w:val="28"/>
        </w:rPr>
        <w:t>к приказу ГУЗ «СГДП №</w:t>
      </w:r>
      <w:r>
        <w:rPr>
          <w:bCs/>
          <w:sz w:val="28"/>
          <w:szCs w:val="28"/>
        </w:rPr>
        <w:t xml:space="preserve"> </w:t>
      </w:r>
      <w:r w:rsidRPr="00E14720">
        <w:rPr>
          <w:bCs/>
          <w:sz w:val="28"/>
          <w:szCs w:val="28"/>
        </w:rPr>
        <w:t xml:space="preserve">8» </w:t>
      </w:r>
    </w:p>
    <w:p w:rsidR="005201A3" w:rsidRPr="00E14720" w:rsidRDefault="005201A3" w:rsidP="005201A3">
      <w:pPr>
        <w:spacing w:line="240" w:lineRule="auto"/>
        <w:jc w:val="right"/>
        <w:rPr>
          <w:bCs/>
          <w:sz w:val="28"/>
          <w:szCs w:val="28"/>
        </w:rPr>
      </w:pPr>
      <w:r w:rsidRPr="00E14720">
        <w:rPr>
          <w:bCs/>
          <w:sz w:val="28"/>
          <w:szCs w:val="28"/>
        </w:rPr>
        <w:t>от 17.08.2018 года №375</w:t>
      </w:r>
    </w:p>
    <w:p w:rsidR="005201A3" w:rsidRPr="00E14720" w:rsidRDefault="005201A3" w:rsidP="005201A3">
      <w:pPr>
        <w:pStyle w:val="ListParagraph"/>
        <w:jc w:val="center"/>
        <w:rPr>
          <w:b/>
          <w:bCs/>
          <w:sz w:val="28"/>
          <w:szCs w:val="28"/>
        </w:rPr>
      </w:pPr>
    </w:p>
    <w:p w:rsidR="009D588B" w:rsidRDefault="009D588B" w:rsidP="00D30A33">
      <w:pPr>
        <w:pStyle w:val="NoSpacing"/>
        <w:spacing w:after="0" w:line="240" w:lineRule="auto"/>
        <w:jc w:val="center"/>
        <w:rPr>
          <w:rFonts w:ascii="Times New Roman" w:hAnsi="Times New Roman" w:cs="Times New Roman"/>
          <w:b/>
          <w:sz w:val="28"/>
          <w:szCs w:val="28"/>
        </w:rPr>
      </w:pPr>
      <w:r w:rsidRPr="00E14720">
        <w:rPr>
          <w:rFonts w:ascii="Times New Roman" w:hAnsi="Times New Roman" w:cs="Times New Roman"/>
          <w:b/>
          <w:sz w:val="28"/>
          <w:szCs w:val="28"/>
        </w:rPr>
        <w:t>Перечень заболеваний, подлежащих лечению в дневном стационаре</w:t>
      </w:r>
    </w:p>
    <w:p w:rsidR="00D30A33" w:rsidRPr="00E14720" w:rsidRDefault="00D30A33">
      <w:pPr>
        <w:pStyle w:val="NoSpacing"/>
        <w:jc w:val="center"/>
        <w:rPr>
          <w:rFonts w:ascii="Times New Roman" w:hAnsi="Times New Roman" w:cs="Times New Roman"/>
          <w:b/>
          <w:sz w:val="28"/>
          <w:szCs w:val="28"/>
        </w:rPr>
      </w:pPr>
      <w:r>
        <w:rPr>
          <w:rFonts w:ascii="Times New Roman" w:hAnsi="Times New Roman" w:cs="Times New Roman"/>
          <w:b/>
          <w:sz w:val="28"/>
          <w:szCs w:val="28"/>
        </w:rPr>
        <w:t>ГУЗ «СГДП № 8»</w:t>
      </w:r>
    </w:p>
    <w:tbl>
      <w:tblPr>
        <w:tblW w:w="10065" w:type="dxa"/>
        <w:tblInd w:w="-289" w:type="dxa"/>
        <w:tblLayout w:type="fixed"/>
        <w:tblLook w:val="0000" w:firstRow="0" w:lastRow="0" w:firstColumn="0" w:lastColumn="0" w:noHBand="0" w:noVBand="0"/>
      </w:tblPr>
      <w:tblGrid>
        <w:gridCol w:w="2658"/>
        <w:gridCol w:w="3155"/>
        <w:gridCol w:w="2901"/>
        <w:gridCol w:w="11"/>
        <w:gridCol w:w="1340"/>
      </w:tblGrid>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Нозологическая форма</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Показания</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Противопоказания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Сроки лечения</w:t>
            </w:r>
          </w:p>
        </w:tc>
      </w:tr>
      <w:tr w:rsidR="00525BD4" w:rsidRPr="00E14720" w:rsidTr="00D535AD">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525BD4" w:rsidRPr="00E14720" w:rsidRDefault="00525BD4" w:rsidP="00525BD4">
            <w:pPr>
              <w:pStyle w:val="NoSpacing"/>
              <w:numPr>
                <w:ilvl w:val="0"/>
                <w:numId w:val="11"/>
              </w:numPr>
              <w:snapToGrid w:val="0"/>
              <w:spacing w:after="0" w:line="100" w:lineRule="atLeast"/>
              <w:jc w:val="center"/>
              <w:rPr>
                <w:rFonts w:ascii="Times New Roman" w:hAnsi="Times New Roman" w:cs="Times New Roman"/>
                <w:b/>
                <w:sz w:val="28"/>
                <w:szCs w:val="28"/>
              </w:rPr>
            </w:pPr>
            <w:r w:rsidRPr="00E14720">
              <w:rPr>
                <w:rFonts w:ascii="Times New Roman" w:hAnsi="Times New Roman" w:cs="Times New Roman"/>
                <w:b/>
                <w:sz w:val="28"/>
                <w:szCs w:val="28"/>
              </w:rPr>
              <w:t>Заболевания органов дыхания</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 xml:space="preserve">Острый простой бронхит </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Отсутствие интоксикация и выраженной дыхательной недостаточности</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Выраженная интоксикация и дыхательная недостаточность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7-10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Острый обструктивный бронхит</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Отсутствие интоксикация и выраженной дыхательной недостаточности</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Выраженная интоксикация и дыхательная недостаточность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7-10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Рецидивирующий простой бронхит</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Отсутствие интоксикация и выраженной дыхательной недостаточности</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Выраженная интоксикация и дыхательная недостаточность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7-10</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Внебольничная, неосложненная бронхопневмония, период остаточных явлений</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Период остаточных явлений: очаговой сегментарной пневмонии, без интоксикации и </w:t>
            </w:r>
            <w:r w:rsidRPr="00E14720">
              <w:rPr>
                <w:rFonts w:ascii="Times New Roman" w:hAnsi="Times New Roman" w:cs="Times New Roman"/>
                <w:sz w:val="28"/>
                <w:szCs w:val="28"/>
              </w:rPr>
              <w:lastRenderedPageBreak/>
              <w:t>выраженной дыхательной недостаточности</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lastRenderedPageBreak/>
              <w:t xml:space="preserve">Наличие осложнений интоксикации и дыхательной недостаточности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12-15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 xml:space="preserve">Бронхиальная астма, неполная ремиссия, </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Период, без выраженной дыхательной недостаточности</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Наличие приступа любой степени тяжести выраженной дыхательной недостаточности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7-10 дней</w:t>
            </w:r>
          </w:p>
        </w:tc>
      </w:tr>
      <w:tr w:rsidR="00525BD4" w:rsidRPr="00E14720" w:rsidTr="00D535AD">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525BD4" w:rsidRPr="00E14720" w:rsidRDefault="00525BD4" w:rsidP="00525BD4">
            <w:pPr>
              <w:pStyle w:val="NoSpacing"/>
              <w:numPr>
                <w:ilvl w:val="0"/>
                <w:numId w:val="11"/>
              </w:numPr>
              <w:snapToGrid w:val="0"/>
              <w:spacing w:after="0" w:line="100" w:lineRule="atLeast"/>
              <w:jc w:val="center"/>
              <w:rPr>
                <w:rFonts w:ascii="Times New Roman" w:hAnsi="Times New Roman" w:cs="Times New Roman"/>
                <w:b/>
                <w:sz w:val="28"/>
                <w:szCs w:val="28"/>
              </w:rPr>
            </w:pPr>
            <w:r w:rsidRPr="00E14720">
              <w:rPr>
                <w:rFonts w:ascii="Times New Roman" w:hAnsi="Times New Roman" w:cs="Times New Roman"/>
                <w:b/>
                <w:sz w:val="28"/>
                <w:szCs w:val="28"/>
              </w:rPr>
              <w:t>Заболевания сердечно-сосудистой системы</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Синдром вегетососудистой дистонии</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Отсутствие нарушений ритма и нарушения кровообращения</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Выраженные нарушения ритма нарушения кровообращения</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10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proofErr w:type="spellStart"/>
            <w:r w:rsidRPr="00E14720">
              <w:rPr>
                <w:rFonts w:ascii="Times New Roman" w:hAnsi="Times New Roman" w:cs="Times New Roman"/>
                <w:sz w:val="28"/>
                <w:szCs w:val="28"/>
              </w:rPr>
              <w:t>Эссенциальная</w:t>
            </w:r>
            <w:proofErr w:type="spellEnd"/>
            <w:r w:rsidRPr="00E14720">
              <w:rPr>
                <w:rFonts w:ascii="Times New Roman" w:hAnsi="Times New Roman" w:cs="Times New Roman"/>
                <w:sz w:val="28"/>
                <w:szCs w:val="28"/>
              </w:rPr>
              <w:t xml:space="preserve"> гипертензия</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Артериальное давление не выше 160/100</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Выраженное повышенное артериальное давление выше 160/100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12-15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Вторичная гипертензия</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Артериальное давление не выше 160/100</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Значительное повышение артериальное давление выше 160/100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12-15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Гипотензия</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Отсутствие нарушение ритма</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Нарушение ритма Нарушение кровообращения НК </w:t>
            </w:r>
            <w:r w:rsidRPr="00E14720">
              <w:rPr>
                <w:rFonts w:ascii="Times New Roman" w:hAnsi="Times New Roman" w:cs="Times New Roman"/>
                <w:sz w:val="28"/>
                <w:szCs w:val="28"/>
                <w:lang w:val="en-US"/>
              </w:rPr>
              <w:t>II</w:t>
            </w:r>
            <w:r w:rsidRPr="00E14720">
              <w:rPr>
                <w:rFonts w:ascii="Times New Roman" w:hAnsi="Times New Roman" w:cs="Times New Roman"/>
                <w:sz w:val="28"/>
                <w:szCs w:val="28"/>
              </w:rPr>
              <w:t xml:space="preserve"> 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10-12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Кардиомиопатия при болезнях, классифицированных в других рубриках</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Отсутствие нарушения кровообращения</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Нарушение кровообращения НК </w:t>
            </w:r>
            <w:r w:rsidRPr="00E14720">
              <w:rPr>
                <w:rFonts w:ascii="Times New Roman" w:hAnsi="Times New Roman" w:cs="Times New Roman"/>
                <w:sz w:val="28"/>
                <w:szCs w:val="28"/>
                <w:lang w:val="en-US"/>
              </w:rPr>
              <w:t>II</w:t>
            </w:r>
            <w:r w:rsidRPr="00E14720">
              <w:rPr>
                <w:rFonts w:ascii="Times New Roman" w:hAnsi="Times New Roman" w:cs="Times New Roman"/>
                <w:sz w:val="28"/>
                <w:szCs w:val="28"/>
              </w:rPr>
              <w:t xml:space="preserve"> А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12-15 дней</w:t>
            </w:r>
          </w:p>
        </w:tc>
      </w:tr>
      <w:tr w:rsidR="00525BD4" w:rsidRPr="00E14720" w:rsidTr="00D535AD">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525BD4" w:rsidRPr="00E14720" w:rsidRDefault="00525BD4" w:rsidP="00525BD4">
            <w:pPr>
              <w:pStyle w:val="NoSpacing"/>
              <w:numPr>
                <w:ilvl w:val="0"/>
                <w:numId w:val="11"/>
              </w:numPr>
              <w:snapToGrid w:val="0"/>
              <w:spacing w:after="0" w:line="100" w:lineRule="atLeast"/>
              <w:jc w:val="center"/>
              <w:rPr>
                <w:rFonts w:ascii="Times New Roman" w:hAnsi="Times New Roman" w:cs="Times New Roman"/>
                <w:b/>
                <w:sz w:val="28"/>
                <w:szCs w:val="28"/>
              </w:rPr>
            </w:pPr>
            <w:r w:rsidRPr="00E14720">
              <w:rPr>
                <w:rFonts w:ascii="Times New Roman" w:hAnsi="Times New Roman" w:cs="Times New Roman"/>
                <w:b/>
                <w:sz w:val="28"/>
                <w:szCs w:val="28"/>
              </w:rPr>
              <w:t>Заболевания опорно-двигательного аппарата</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Реактивный артрит</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Стихание активности процесса и болевого синдрома</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Выраженный болевой синдром и активность процесса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12-15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proofErr w:type="spellStart"/>
            <w:r w:rsidRPr="00E14720">
              <w:rPr>
                <w:rFonts w:ascii="Times New Roman" w:hAnsi="Times New Roman" w:cs="Times New Roman"/>
                <w:sz w:val="28"/>
                <w:szCs w:val="28"/>
              </w:rPr>
              <w:t>Остеохондропатия</w:t>
            </w:r>
            <w:proofErr w:type="spellEnd"/>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Не выраженный болевой синдром с сохраненной двигательной активностью</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Выраженный болевой синдром со снижением двигательной активности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10-14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proofErr w:type="spellStart"/>
            <w:r w:rsidRPr="00E14720">
              <w:rPr>
                <w:rFonts w:ascii="Times New Roman" w:hAnsi="Times New Roman" w:cs="Times New Roman"/>
                <w:sz w:val="28"/>
                <w:szCs w:val="28"/>
              </w:rPr>
              <w:t>Дорсопатия</w:t>
            </w:r>
            <w:proofErr w:type="spellEnd"/>
            <w:r w:rsidRPr="00E14720">
              <w:rPr>
                <w:rFonts w:ascii="Times New Roman" w:hAnsi="Times New Roman" w:cs="Times New Roman"/>
                <w:sz w:val="28"/>
                <w:szCs w:val="28"/>
              </w:rPr>
              <w:t xml:space="preserve"> (сколиоз, остеохондроз различной локализации)</w:t>
            </w:r>
          </w:p>
        </w:tc>
        <w:tc>
          <w:tcPr>
            <w:tcW w:w="3155" w:type="dxa"/>
            <w:tcBorders>
              <w:top w:val="single" w:sz="4" w:space="0" w:color="000000"/>
              <w:left w:val="single" w:sz="4" w:space="0" w:color="000000"/>
              <w:bottom w:val="single" w:sz="4" w:space="0" w:color="000000"/>
            </w:tcBorders>
            <w:shd w:val="clear" w:color="auto" w:fill="auto"/>
          </w:tcPr>
          <w:p w:rsidR="009D588B"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Не умеренный выраженный болевой синдром, без нарушения двигательной активности</w:t>
            </w:r>
          </w:p>
          <w:p w:rsidR="00673773" w:rsidRDefault="00673773">
            <w:pPr>
              <w:pStyle w:val="NoSpacing"/>
              <w:snapToGrid w:val="0"/>
              <w:spacing w:after="0" w:line="100" w:lineRule="atLeast"/>
              <w:jc w:val="center"/>
              <w:rPr>
                <w:rFonts w:ascii="Times New Roman" w:hAnsi="Times New Roman" w:cs="Times New Roman"/>
                <w:sz w:val="28"/>
                <w:szCs w:val="28"/>
              </w:rPr>
            </w:pPr>
          </w:p>
          <w:p w:rsidR="00D535AD" w:rsidRPr="00E14720" w:rsidRDefault="00D535AD">
            <w:pPr>
              <w:pStyle w:val="NoSpacing"/>
              <w:snapToGrid w:val="0"/>
              <w:spacing w:after="0" w:line="100" w:lineRule="atLeast"/>
              <w:jc w:val="center"/>
              <w:rPr>
                <w:rFonts w:ascii="Times New Roman" w:hAnsi="Times New Roman" w:cs="Times New Roman"/>
                <w:sz w:val="28"/>
                <w:szCs w:val="28"/>
              </w:rPr>
            </w:pP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lastRenderedPageBreak/>
              <w:t>Выраженный болевой синдром, нарушение двигательной активности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7-10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Ревматоидный артрит</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Отсутствие выраженных б/х нарушений минимальная активность процесса</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Выраженные б/х нарушения и активность процесса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15-18 дней</w:t>
            </w:r>
          </w:p>
        </w:tc>
      </w:tr>
      <w:tr w:rsidR="00525BD4" w:rsidRPr="00E14720" w:rsidTr="00D535AD">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525BD4" w:rsidRPr="00E14720" w:rsidRDefault="00525BD4" w:rsidP="00525BD4">
            <w:pPr>
              <w:pStyle w:val="NoSpacing"/>
              <w:numPr>
                <w:ilvl w:val="0"/>
                <w:numId w:val="11"/>
              </w:numPr>
              <w:snapToGrid w:val="0"/>
              <w:spacing w:after="0" w:line="100" w:lineRule="atLeast"/>
              <w:jc w:val="center"/>
              <w:rPr>
                <w:rFonts w:ascii="Times New Roman" w:hAnsi="Times New Roman" w:cs="Times New Roman"/>
                <w:b/>
                <w:sz w:val="28"/>
                <w:szCs w:val="28"/>
              </w:rPr>
            </w:pPr>
            <w:r w:rsidRPr="00E14720">
              <w:rPr>
                <w:rFonts w:ascii="Times New Roman" w:hAnsi="Times New Roman" w:cs="Times New Roman"/>
                <w:b/>
                <w:sz w:val="28"/>
                <w:szCs w:val="28"/>
              </w:rPr>
              <w:t>Заболевания органов пищеварения</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Язвенная болезнь желудка и 12 п.кишки (период неполной ремиссии)</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Болевой синдром, </w:t>
            </w:r>
            <w:proofErr w:type="spellStart"/>
            <w:r w:rsidRPr="00E14720">
              <w:rPr>
                <w:rFonts w:ascii="Times New Roman" w:hAnsi="Times New Roman" w:cs="Times New Roman"/>
                <w:sz w:val="28"/>
                <w:szCs w:val="28"/>
              </w:rPr>
              <w:t>гиперацидное</w:t>
            </w:r>
            <w:proofErr w:type="spellEnd"/>
            <w:r w:rsidRPr="00E14720">
              <w:rPr>
                <w:rFonts w:ascii="Times New Roman" w:hAnsi="Times New Roman" w:cs="Times New Roman"/>
                <w:sz w:val="28"/>
                <w:szCs w:val="28"/>
              </w:rPr>
              <w:t xml:space="preserve"> состояние, проведение </w:t>
            </w:r>
            <w:proofErr w:type="spellStart"/>
            <w:r w:rsidRPr="00E14720">
              <w:rPr>
                <w:rFonts w:ascii="Times New Roman" w:hAnsi="Times New Roman" w:cs="Times New Roman"/>
                <w:sz w:val="28"/>
                <w:szCs w:val="28"/>
              </w:rPr>
              <w:t>эрадикации</w:t>
            </w:r>
            <w:proofErr w:type="spellEnd"/>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Осложненная язвенная бол</w:t>
            </w:r>
            <w:r w:rsidR="00525BD4" w:rsidRPr="00E14720">
              <w:rPr>
                <w:rFonts w:ascii="Times New Roman" w:hAnsi="Times New Roman" w:cs="Times New Roman"/>
                <w:sz w:val="28"/>
                <w:szCs w:val="28"/>
              </w:rPr>
              <w:t>е</w:t>
            </w:r>
            <w:r w:rsidRPr="00E14720">
              <w:rPr>
                <w:rFonts w:ascii="Times New Roman" w:hAnsi="Times New Roman" w:cs="Times New Roman"/>
                <w:sz w:val="28"/>
                <w:szCs w:val="28"/>
              </w:rPr>
              <w:t>знь, симптом</w:t>
            </w:r>
            <w:r w:rsidR="00525BD4" w:rsidRPr="00E14720">
              <w:rPr>
                <w:rFonts w:ascii="Times New Roman" w:hAnsi="Times New Roman" w:cs="Times New Roman"/>
                <w:sz w:val="28"/>
                <w:szCs w:val="28"/>
              </w:rPr>
              <w:t>о</w:t>
            </w:r>
            <w:r w:rsidRPr="00E14720">
              <w:rPr>
                <w:rFonts w:ascii="Times New Roman" w:hAnsi="Times New Roman" w:cs="Times New Roman"/>
                <w:sz w:val="28"/>
                <w:szCs w:val="28"/>
              </w:rPr>
              <w:t>в острого панкреатита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12-15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proofErr w:type="spellStart"/>
            <w:r w:rsidRPr="00E14720">
              <w:rPr>
                <w:rFonts w:ascii="Times New Roman" w:hAnsi="Times New Roman" w:cs="Times New Roman"/>
                <w:sz w:val="28"/>
                <w:szCs w:val="28"/>
              </w:rPr>
              <w:t>Гастроюнальная</w:t>
            </w:r>
            <w:proofErr w:type="spellEnd"/>
            <w:r w:rsidRPr="00E14720">
              <w:rPr>
                <w:rFonts w:ascii="Times New Roman" w:hAnsi="Times New Roman" w:cs="Times New Roman"/>
                <w:sz w:val="28"/>
                <w:szCs w:val="28"/>
              </w:rPr>
              <w:t xml:space="preserve"> язва (период неполной ремиссии)</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Болевой синдром, </w:t>
            </w:r>
            <w:proofErr w:type="spellStart"/>
            <w:r w:rsidRPr="00E14720">
              <w:rPr>
                <w:rFonts w:ascii="Times New Roman" w:hAnsi="Times New Roman" w:cs="Times New Roman"/>
                <w:sz w:val="28"/>
                <w:szCs w:val="28"/>
              </w:rPr>
              <w:t>гиперацидное</w:t>
            </w:r>
            <w:proofErr w:type="spellEnd"/>
            <w:r w:rsidRPr="00E14720">
              <w:rPr>
                <w:rFonts w:ascii="Times New Roman" w:hAnsi="Times New Roman" w:cs="Times New Roman"/>
                <w:sz w:val="28"/>
                <w:szCs w:val="28"/>
              </w:rPr>
              <w:t xml:space="preserve"> состояние, проведение </w:t>
            </w:r>
            <w:proofErr w:type="spellStart"/>
            <w:r w:rsidRPr="00E14720">
              <w:rPr>
                <w:rFonts w:ascii="Times New Roman" w:hAnsi="Times New Roman" w:cs="Times New Roman"/>
                <w:sz w:val="28"/>
                <w:szCs w:val="28"/>
              </w:rPr>
              <w:t>эрадикации</w:t>
            </w:r>
            <w:proofErr w:type="spellEnd"/>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Осложненная язвенная бол</w:t>
            </w:r>
            <w:r w:rsidR="00F801D9" w:rsidRPr="00E14720">
              <w:rPr>
                <w:rFonts w:ascii="Times New Roman" w:hAnsi="Times New Roman" w:cs="Times New Roman"/>
                <w:sz w:val="28"/>
                <w:szCs w:val="28"/>
              </w:rPr>
              <w:t>е</w:t>
            </w:r>
            <w:r w:rsidRPr="00E14720">
              <w:rPr>
                <w:rFonts w:ascii="Times New Roman" w:hAnsi="Times New Roman" w:cs="Times New Roman"/>
                <w:sz w:val="28"/>
                <w:szCs w:val="28"/>
              </w:rPr>
              <w:t>знь, симптом</w:t>
            </w:r>
            <w:r w:rsidR="00F801D9" w:rsidRPr="00E14720">
              <w:rPr>
                <w:rFonts w:ascii="Times New Roman" w:hAnsi="Times New Roman" w:cs="Times New Roman"/>
                <w:sz w:val="28"/>
                <w:szCs w:val="28"/>
              </w:rPr>
              <w:t>о</w:t>
            </w:r>
            <w:r w:rsidRPr="00E14720">
              <w:rPr>
                <w:rFonts w:ascii="Times New Roman" w:hAnsi="Times New Roman" w:cs="Times New Roman"/>
                <w:sz w:val="28"/>
                <w:szCs w:val="28"/>
              </w:rPr>
              <w:t>в острого панкреатита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12-15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Хронический гастрит и дуоденит (период обострения или неполной ремиссии)</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Болевой синдром, </w:t>
            </w:r>
            <w:proofErr w:type="spellStart"/>
            <w:r w:rsidRPr="00E14720">
              <w:rPr>
                <w:rFonts w:ascii="Times New Roman" w:hAnsi="Times New Roman" w:cs="Times New Roman"/>
                <w:sz w:val="28"/>
                <w:szCs w:val="28"/>
              </w:rPr>
              <w:t>гиперацидность</w:t>
            </w:r>
            <w:proofErr w:type="spellEnd"/>
            <w:r w:rsidRPr="00E14720">
              <w:rPr>
                <w:rFonts w:ascii="Times New Roman" w:hAnsi="Times New Roman" w:cs="Times New Roman"/>
                <w:sz w:val="28"/>
                <w:szCs w:val="28"/>
              </w:rPr>
              <w:t xml:space="preserve">, нарушение моторики, резистентное к терапии </w:t>
            </w:r>
            <w:proofErr w:type="spellStart"/>
            <w:r w:rsidRPr="00E14720">
              <w:rPr>
                <w:rFonts w:ascii="Times New Roman" w:hAnsi="Times New Roman" w:cs="Times New Roman"/>
                <w:sz w:val="28"/>
                <w:szCs w:val="28"/>
              </w:rPr>
              <w:t>прокинетиками</w:t>
            </w:r>
            <w:proofErr w:type="spellEnd"/>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Симптомы острого панкреатита, рвота, диарея</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12-12 дней </w:t>
            </w:r>
          </w:p>
        </w:tc>
      </w:tr>
      <w:tr w:rsidR="009D588B" w:rsidRPr="00E14720" w:rsidTr="00D535AD">
        <w:trPr>
          <w:trHeight w:val="1176"/>
        </w:trPr>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Другие болезни желудка уточненные – функциональные расстройства желудка</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proofErr w:type="spellStart"/>
            <w:r w:rsidRPr="00E14720">
              <w:rPr>
                <w:rFonts w:ascii="Times New Roman" w:hAnsi="Times New Roman" w:cs="Times New Roman"/>
                <w:sz w:val="28"/>
                <w:szCs w:val="28"/>
              </w:rPr>
              <w:t>Гиперацидность</w:t>
            </w:r>
            <w:proofErr w:type="spellEnd"/>
            <w:r w:rsidRPr="00E14720">
              <w:rPr>
                <w:rFonts w:ascii="Times New Roman" w:hAnsi="Times New Roman" w:cs="Times New Roman"/>
                <w:sz w:val="28"/>
                <w:szCs w:val="28"/>
              </w:rPr>
              <w:t>, болевой синдром, нарушения моторики</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Рвота, диарея</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10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proofErr w:type="spellStart"/>
            <w:r w:rsidRPr="00E14720">
              <w:rPr>
                <w:rFonts w:ascii="Times New Roman" w:hAnsi="Times New Roman" w:cs="Times New Roman"/>
                <w:sz w:val="28"/>
                <w:szCs w:val="28"/>
              </w:rPr>
              <w:t>Гастроэзофагольный</w:t>
            </w:r>
            <w:proofErr w:type="spellEnd"/>
            <w:r w:rsidRPr="00E14720">
              <w:rPr>
                <w:rFonts w:ascii="Times New Roman" w:hAnsi="Times New Roman" w:cs="Times New Roman"/>
                <w:sz w:val="28"/>
                <w:szCs w:val="28"/>
              </w:rPr>
              <w:t xml:space="preserve"> рефлюкс</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proofErr w:type="spellStart"/>
            <w:r w:rsidRPr="00E14720">
              <w:rPr>
                <w:rFonts w:ascii="Times New Roman" w:hAnsi="Times New Roman" w:cs="Times New Roman"/>
                <w:sz w:val="28"/>
                <w:szCs w:val="28"/>
              </w:rPr>
              <w:t>Гиперацидность</w:t>
            </w:r>
            <w:proofErr w:type="spellEnd"/>
            <w:r w:rsidRPr="00E14720">
              <w:rPr>
                <w:rFonts w:ascii="Times New Roman" w:hAnsi="Times New Roman" w:cs="Times New Roman"/>
                <w:sz w:val="28"/>
                <w:szCs w:val="28"/>
              </w:rPr>
              <w:t>, болевой синдром, нарушения моторики</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Рвота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10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Синдром раздраженной кишки без диареи</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Болевой синдром, выраженный метеоризм</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Наличие слизи в кале, эритроциты, лейкоциты в </w:t>
            </w:r>
            <w:proofErr w:type="spellStart"/>
            <w:r w:rsidRPr="00E14720">
              <w:rPr>
                <w:rFonts w:ascii="Times New Roman" w:hAnsi="Times New Roman" w:cs="Times New Roman"/>
                <w:sz w:val="28"/>
                <w:szCs w:val="28"/>
              </w:rPr>
              <w:t>копрограмме</w:t>
            </w:r>
            <w:proofErr w:type="spellEnd"/>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10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Функциональные кишечные нарушения – запор</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proofErr w:type="spellStart"/>
            <w:r w:rsidRPr="00E14720">
              <w:rPr>
                <w:rFonts w:ascii="Times New Roman" w:hAnsi="Times New Roman" w:cs="Times New Roman"/>
                <w:sz w:val="28"/>
                <w:szCs w:val="28"/>
              </w:rPr>
              <w:t>Резистетность</w:t>
            </w:r>
            <w:proofErr w:type="spellEnd"/>
            <w:r w:rsidRPr="00E14720">
              <w:rPr>
                <w:rFonts w:ascii="Times New Roman" w:hAnsi="Times New Roman" w:cs="Times New Roman"/>
                <w:sz w:val="28"/>
                <w:szCs w:val="28"/>
              </w:rPr>
              <w:t xml:space="preserve"> к фармакотерапии и диетотерапии</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Воспалительный процесс в кишке, болезнь </w:t>
            </w:r>
            <w:proofErr w:type="spellStart"/>
            <w:r w:rsidRPr="00E14720">
              <w:rPr>
                <w:rFonts w:ascii="Times New Roman" w:hAnsi="Times New Roman" w:cs="Times New Roman"/>
                <w:sz w:val="28"/>
                <w:szCs w:val="28"/>
              </w:rPr>
              <w:t>Тиршпрунга</w:t>
            </w:r>
            <w:proofErr w:type="spellEnd"/>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10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proofErr w:type="spellStart"/>
            <w:r w:rsidRPr="00E14720">
              <w:rPr>
                <w:rFonts w:ascii="Times New Roman" w:hAnsi="Times New Roman" w:cs="Times New Roman"/>
                <w:sz w:val="28"/>
                <w:szCs w:val="28"/>
              </w:rPr>
              <w:t>Желчекаменная</w:t>
            </w:r>
            <w:proofErr w:type="spellEnd"/>
            <w:r w:rsidRPr="00E14720">
              <w:rPr>
                <w:rFonts w:ascii="Times New Roman" w:hAnsi="Times New Roman" w:cs="Times New Roman"/>
                <w:sz w:val="28"/>
                <w:szCs w:val="28"/>
              </w:rPr>
              <w:t xml:space="preserve"> болезнь (в фазе неполной ремиссии)</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Болевой синдром, проведение комплексной </w:t>
            </w:r>
            <w:proofErr w:type="spellStart"/>
            <w:r w:rsidRPr="00E14720">
              <w:rPr>
                <w:rFonts w:ascii="Times New Roman" w:hAnsi="Times New Roman" w:cs="Times New Roman"/>
                <w:sz w:val="28"/>
                <w:szCs w:val="28"/>
              </w:rPr>
              <w:t>литолитической</w:t>
            </w:r>
            <w:proofErr w:type="spellEnd"/>
            <w:r w:rsidRPr="00E14720">
              <w:rPr>
                <w:rFonts w:ascii="Times New Roman" w:hAnsi="Times New Roman" w:cs="Times New Roman"/>
                <w:sz w:val="28"/>
                <w:szCs w:val="28"/>
              </w:rPr>
              <w:t xml:space="preserve"> терапии</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Органические поражения печени, поджелудочной железы; субфебрилитет</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10-12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Хронический холецистит в фазе неполной ремиссии</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Наличие болевого синдрома или синдром </w:t>
            </w:r>
            <w:proofErr w:type="spellStart"/>
            <w:r w:rsidRPr="00E14720">
              <w:rPr>
                <w:rFonts w:ascii="Times New Roman" w:hAnsi="Times New Roman" w:cs="Times New Roman"/>
                <w:sz w:val="28"/>
                <w:szCs w:val="28"/>
              </w:rPr>
              <w:t>холестаза</w:t>
            </w:r>
            <w:proofErr w:type="spellEnd"/>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Органические поражения печени, поджелудочной железы; субфебрилитет</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10-12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lastRenderedPageBreak/>
              <w:t>Другие уточненные болезни желчевыводящих путей</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Наличие болевого синдрома или синдром </w:t>
            </w:r>
            <w:proofErr w:type="spellStart"/>
            <w:r w:rsidRPr="00E14720">
              <w:rPr>
                <w:rFonts w:ascii="Times New Roman" w:hAnsi="Times New Roman" w:cs="Times New Roman"/>
                <w:sz w:val="28"/>
                <w:szCs w:val="28"/>
              </w:rPr>
              <w:t>холестаза</w:t>
            </w:r>
            <w:proofErr w:type="spellEnd"/>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Органические поражения печени, поджелудочной железы; субфебрилитет</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10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Болезни поджелудочной железы неуточненные (реактивный панкреатит)</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Затяжное (свыше 3 месяцев) течение заболевания</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Субфебрилитет, Диарея, органическое поражение печени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8-10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 xml:space="preserve">Не уточненные болезни печени болезнь </w:t>
            </w:r>
            <w:proofErr w:type="spellStart"/>
            <w:r w:rsidRPr="00E14720">
              <w:rPr>
                <w:rFonts w:ascii="Times New Roman" w:hAnsi="Times New Roman" w:cs="Times New Roman"/>
                <w:sz w:val="28"/>
                <w:szCs w:val="28"/>
              </w:rPr>
              <w:t>Жильбера</w:t>
            </w:r>
            <w:proofErr w:type="spellEnd"/>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Затяжная желтуха (при установленном диагнозе), </w:t>
            </w:r>
            <w:proofErr w:type="spellStart"/>
            <w:r w:rsidRPr="00E14720">
              <w:rPr>
                <w:rFonts w:ascii="Times New Roman" w:hAnsi="Times New Roman" w:cs="Times New Roman"/>
                <w:sz w:val="28"/>
                <w:szCs w:val="28"/>
              </w:rPr>
              <w:t>холестаз</w:t>
            </w:r>
            <w:proofErr w:type="spellEnd"/>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Повышение активности </w:t>
            </w:r>
            <w:proofErr w:type="spellStart"/>
            <w:r w:rsidRPr="00E14720">
              <w:rPr>
                <w:rFonts w:ascii="Times New Roman" w:hAnsi="Times New Roman" w:cs="Times New Roman"/>
                <w:sz w:val="28"/>
                <w:szCs w:val="28"/>
              </w:rPr>
              <w:t>трансаминаз</w:t>
            </w:r>
            <w:proofErr w:type="spellEnd"/>
            <w:r w:rsidRPr="00E14720">
              <w:rPr>
                <w:rFonts w:ascii="Times New Roman" w:hAnsi="Times New Roman" w:cs="Times New Roman"/>
                <w:sz w:val="28"/>
                <w:szCs w:val="28"/>
              </w:rPr>
              <w:t>, субфебрилитет, диарея, рвота. Отсутствие данных обследования на маркеры вирусных гепатитов</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12 дней</w:t>
            </w:r>
          </w:p>
        </w:tc>
      </w:tr>
      <w:tr w:rsidR="00F801D9" w:rsidRPr="00E14720" w:rsidTr="00D535AD">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F801D9" w:rsidRPr="00E14720" w:rsidRDefault="00F801D9" w:rsidP="00F801D9">
            <w:pPr>
              <w:pStyle w:val="NoSpacing"/>
              <w:numPr>
                <w:ilvl w:val="0"/>
                <w:numId w:val="11"/>
              </w:numPr>
              <w:snapToGrid w:val="0"/>
              <w:spacing w:after="0" w:line="100" w:lineRule="atLeast"/>
              <w:jc w:val="center"/>
              <w:rPr>
                <w:rFonts w:ascii="Times New Roman" w:hAnsi="Times New Roman" w:cs="Times New Roman"/>
                <w:b/>
                <w:sz w:val="28"/>
                <w:szCs w:val="28"/>
              </w:rPr>
            </w:pPr>
            <w:r w:rsidRPr="00E14720">
              <w:rPr>
                <w:rFonts w:ascii="Times New Roman" w:hAnsi="Times New Roman" w:cs="Times New Roman"/>
                <w:b/>
                <w:sz w:val="28"/>
                <w:szCs w:val="28"/>
              </w:rPr>
              <w:t>Заболевания мочевыделительной системы</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proofErr w:type="spellStart"/>
            <w:r w:rsidRPr="00E14720">
              <w:rPr>
                <w:rFonts w:ascii="Times New Roman" w:hAnsi="Times New Roman" w:cs="Times New Roman"/>
                <w:sz w:val="28"/>
                <w:szCs w:val="28"/>
              </w:rPr>
              <w:t>Дисметаболическая</w:t>
            </w:r>
            <w:proofErr w:type="spellEnd"/>
            <w:r w:rsidRPr="00E14720">
              <w:rPr>
                <w:rFonts w:ascii="Times New Roman" w:hAnsi="Times New Roman" w:cs="Times New Roman"/>
                <w:sz w:val="28"/>
                <w:szCs w:val="28"/>
              </w:rPr>
              <w:t xml:space="preserve"> нефропатия</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Стабилизация анализов ОАМ, ОАК, показателей биохимии: мочевина, стабилизация цифр АД</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Повышения АД, выраженные изменения, нарушения функции почек по </w:t>
            </w:r>
            <w:proofErr w:type="spellStart"/>
            <w:r w:rsidRPr="00E14720">
              <w:rPr>
                <w:rFonts w:ascii="Times New Roman" w:hAnsi="Times New Roman" w:cs="Times New Roman"/>
                <w:sz w:val="28"/>
                <w:szCs w:val="28"/>
              </w:rPr>
              <w:t>биохимическогому</w:t>
            </w:r>
            <w:proofErr w:type="spellEnd"/>
            <w:r w:rsidRPr="00E14720">
              <w:rPr>
                <w:rFonts w:ascii="Times New Roman" w:hAnsi="Times New Roman" w:cs="Times New Roman"/>
                <w:sz w:val="28"/>
                <w:szCs w:val="28"/>
              </w:rPr>
              <w:t xml:space="preserve"> обследованию</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12-15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 xml:space="preserve">Хронический </w:t>
            </w:r>
            <w:proofErr w:type="spellStart"/>
            <w:r w:rsidRPr="00E14720">
              <w:rPr>
                <w:rFonts w:ascii="Times New Roman" w:hAnsi="Times New Roman" w:cs="Times New Roman"/>
                <w:sz w:val="28"/>
                <w:szCs w:val="28"/>
              </w:rPr>
              <w:t>интерстиционный</w:t>
            </w:r>
            <w:proofErr w:type="spellEnd"/>
            <w:r w:rsidRPr="00E14720">
              <w:rPr>
                <w:rFonts w:ascii="Times New Roman" w:hAnsi="Times New Roman" w:cs="Times New Roman"/>
                <w:sz w:val="28"/>
                <w:szCs w:val="28"/>
              </w:rPr>
              <w:t xml:space="preserve"> нефрит (неполная ремиссия)</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Стабилизация анализов ОАМ, ОАК, показателей биохимии: мочевина, стабилизация цифр АД</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Повышения АД, выраженные изменения, нарушения функции почек по </w:t>
            </w:r>
            <w:proofErr w:type="spellStart"/>
            <w:r w:rsidRPr="00E14720">
              <w:rPr>
                <w:rFonts w:ascii="Times New Roman" w:hAnsi="Times New Roman" w:cs="Times New Roman"/>
                <w:sz w:val="28"/>
                <w:szCs w:val="28"/>
              </w:rPr>
              <w:t>биохимическогому</w:t>
            </w:r>
            <w:proofErr w:type="spellEnd"/>
            <w:r w:rsidRPr="00E14720">
              <w:rPr>
                <w:rFonts w:ascii="Times New Roman" w:hAnsi="Times New Roman" w:cs="Times New Roman"/>
                <w:sz w:val="28"/>
                <w:szCs w:val="28"/>
              </w:rPr>
              <w:t xml:space="preserve"> обследованию</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10-12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Хронический пиелонефрит (неполная ремиссия)</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Наличие динамики от антибактериальной терапии, нормализация СОЭ, умеренная </w:t>
            </w:r>
            <w:proofErr w:type="spellStart"/>
            <w:r w:rsidRPr="00E14720">
              <w:rPr>
                <w:rFonts w:ascii="Times New Roman" w:hAnsi="Times New Roman" w:cs="Times New Roman"/>
                <w:sz w:val="28"/>
                <w:szCs w:val="28"/>
              </w:rPr>
              <w:t>лейкоцитурии</w:t>
            </w:r>
            <w:proofErr w:type="spellEnd"/>
            <w:r w:rsidRPr="00E14720">
              <w:rPr>
                <w:rFonts w:ascii="Times New Roman" w:hAnsi="Times New Roman" w:cs="Times New Roman"/>
                <w:sz w:val="28"/>
                <w:szCs w:val="28"/>
              </w:rPr>
              <w:t xml:space="preserve"> с положительной динамикой, без изменений биохимии крови</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Выраженная </w:t>
            </w:r>
            <w:proofErr w:type="spellStart"/>
            <w:r w:rsidRPr="00E14720">
              <w:rPr>
                <w:rFonts w:ascii="Times New Roman" w:hAnsi="Times New Roman" w:cs="Times New Roman"/>
                <w:sz w:val="28"/>
                <w:szCs w:val="28"/>
              </w:rPr>
              <w:t>лейкоцитурия</w:t>
            </w:r>
            <w:proofErr w:type="spellEnd"/>
            <w:r w:rsidRPr="00E14720">
              <w:rPr>
                <w:rFonts w:ascii="Times New Roman" w:hAnsi="Times New Roman" w:cs="Times New Roman"/>
                <w:sz w:val="28"/>
                <w:szCs w:val="28"/>
              </w:rPr>
              <w:t>, наличие дизурии на фоне воспалительного процесса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10-12 дней</w:t>
            </w:r>
          </w:p>
        </w:tc>
      </w:tr>
      <w:tr w:rsidR="009D588B" w:rsidRPr="00E14720" w:rsidTr="00D535AD">
        <w:tc>
          <w:tcPr>
            <w:tcW w:w="2658" w:type="dxa"/>
            <w:tcBorders>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Инфекция мочевыводящих путей неуточненная</w:t>
            </w:r>
          </w:p>
        </w:tc>
        <w:tc>
          <w:tcPr>
            <w:tcW w:w="3155" w:type="dxa"/>
            <w:tcBorders>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Наличие динамики от антибактериальной терапии, нормализация </w:t>
            </w:r>
            <w:r w:rsidRPr="00E14720">
              <w:rPr>
                <w:rFonts w:ascii="Times New Roman" w:hAnsi="Times New Roman" w:cs="Times New Roman"/>
                <w:sz w:val="28"/>
                <w:szCs w:val="28"/>
              </w:rPr>
              <w:lastRenderedPageBreak/>
              <w:t xml:space="preserve">СОЭ, умеренная </w:t>
            </w:r>
            <w:proofErr w:type="spellStart"/>
            <w:r w:rsidRPr="00E14720">
              <w:rPr>
                <w:rFonts w:ascii="Times New Roman" w:hAnsi="Times New Roman" w:cs="Times New Roman"/>
                <w:sz w:val="28"/>
                <w:szCs w:val="28"/>
              </w:rPr>
              <w:t>лейкоцитурии</w:t>
            </w:r>
            <w:proofErr w:type="spellEnd"/>
            <w:r w:rsidRPr="00E14720">
              <w:rPr>
                <w:rFonts w:ascii="Times New Roman" w:hAnsi="Times New Roman" w:cs="Times New Roman"/>
                <w:sz w:val="28"/>
                <w:szCs w:val="28"/>
              </w:rPr>
              <w:t xml:space="preserve"> с положительной динамикой, без изменений биохимии крови</w:t>
            </w:r>
          </w:p>
        </w:tc>
        <w:tc>
          <w:tcPr>
            <w:tcW w:w="2912" w:type="dxa"/>
            <w:gridSpan w:val="2"/>
            <w:tcBorders>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lastRenderedPageBreak/>
              <w:t xml:space="preserve">Выраженная </w:t>
            </w:r>
            <w:proofErr w:type="spellStart"/>
            <w:r w:rsidRPr="00E14720">
              <w:rPr>
                <w:rFonts w:ascii="Times New Roman" w:hAnsi="Times New Roman" w:cs="Times New Roman"/>
                <w:sz w:val="28"/>
                <w:szCs w:val="28"/>
              </w:rPr>
              <w:t>лейкоцитурия</w:t>
            </w:r>
            <w:proofErr w:type="spellEnd"/>
            <w:r w:rsidRPr="00E14720">
              <w:rPr>
                <w:rFonts w:ascii="Times New Roman" w:hAnsi="Times New Roman" w:cs="Times New Roman"/>
                <w:sz w:val="28"/>
                <w:szCs w:val="28"/>
              </w:rPr>
              <w:t xml:space="preserve">, наличие дизурии на </w:t>
            </w:r>
            <w:r w:rsidRPr="00E14720">
              <w:rPr>
                <w:rFonts w:ascii="Times New Roman" w:hAnsi="Times New Roman" w:cs="Times New Roman"/>
                <w:sz w:val="28"/>
                <w:szCs w:val="28"/>
              </w:rPr>
              <w:lastRenderedPageBreak/>
              <w:t>фоне воспалительного процесса</w:t>
            </w:r>
          </w:p>
        </w:tc>
        <w:tc>
          <w:tcPr>
            <w:tcW w:w="1340" w:type="dxa"/>
            <w:tcBorders>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lastRenderedPageBreak/>
              <w:t>10-12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Нервно-мышечная дисфункция мочевого пузыря</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Наличие дизурии без воспалительных изменений в анализе мочи, отсутствие болевого синдрома</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Наличие воспалительных изменений в анализе мочи (девочки вагинит), болевой синдром</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8-10 дней</w:t>
            </w:r>
          </w:p>
        </w:tc>
      </w:tr>
      <w:tr w:rsidR="00F801D9" w:rsidRPr="00E14720" w:rsidTr="00D535AD">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F801D9" w:rsidRPr="00E14720" w:rsidRDefault="00F801D9" w:rsidP="00F801D9">
            <w:pPr>
              <w:pStyle w:val="NoSpacing"/>
              <w:numPr>
                <w:ilvl w:val="0"/>
                <w:numId w:val="11"/>
              </w:numPr>
              <w:snapToGrid w:val="0"/>
              <w:spacing w:after="0" w:line="100" w:lineRule="atLeast"/>
              <w:jc w:val="center"/>
              <w:rPr>
                <w:rFonts w:ascii="Times New Roman" w:hAnsi="Times New Roman" w:cs="Times New Roman"/>
                <w:b/>
                <w:sz w:val="28"/>
                <w:szCs w:val="28"/>
              </w:rPr>
            </w:pPr>
            <w:r w:rsidRPr="00E14720">
              <w:rPr>
                <w:rFonts w:ascii="Times New Roman" w:hAnsi="Times New Roman" w:cs="Times New Roman"/>
                <w:b/>
                <w:sz w:val="28"/>
                <w:szCs w:val="28"/>
              </w:rPr>
              <w:t>Заболевания центральной нервной системы</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Синдром вегетативной дистонии церебральный вариант</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Наличие вегетативного синдрома умеренной степени выраженности</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Выраженное, стабильное повышение артериального давления выше 160/100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10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Энцефалопатия неуточненная</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Синдром тонусных нарушений, двигательных нарушений умеренной степени</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Наличие выраженных двигательных нарушений</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12-15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Гидроцефалия врожденная</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Компенсированная форма</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Декомпенсированная форма, прогрессирующее течение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15-18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proofErr w:type="spellStart"/>
            <w:r w:rsidRPr="00E14720">
              <w:rPr>
                <w:rFonts w:ascii="Times New Roman" w:hAnsi="Times New Roman" w:cs="Times New Roman"/>
                <w:sz w:val="28"/>
                <w:szCs w:val="28"/>
              </w:rPr>
              <w:t>Гипертензионно-гидроцефальный</w:t>
            </w:r>
            <w:proofErr w:type="spellEnd"/>
            <w:r w:rsidRPr="00E14720">
              <w:rPr>
                <w:rFonts w:ascii="Times New Roman" w:hAnsi="Times New Roman" w:cs="Times New Roman"/>
                <w:sz w:val="28"/>
                <w:szCs w:val="28"/>
              </w:rPr>
              <w:t xml:space="preserve"> синдром</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Субкомпенсированная форма</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Декомпенсированная форма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12-15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Детский церебральный паралич</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Умеренная степень проявления заболевания</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Тяжелое проявление заболевания. Нетранспортабельные больные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15-18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Черепно-мозговая травма (период остаточных проявлений)</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Наличие синдрома вегетативных нарушений умеренной степени выраженности</w:t>
            </w:r>
          </w:p>
        </w:tc>
        <w:tc>
          <w:tcPr>
            <w:tcW w:w="2912" w:type="dxa"/>
            <w:gridSpan w:val="2"/>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Наличие выраженных проявлений </w:t>
            </w:r>
          </w:p>
          <w:p w:rsidR="009D588B" w:rsidRPr="00E14720" w:rsidRDefault="009D588B">
            <w:pPr>
              <w:pStyle w:val="NoSpacing"/>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Синдром вегетативной дистонии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12 дней</w:t>
            </w:r>
          </w:p>
        </w:tc>
      </w:tr>
      <w:tr w:rsidR="009D588B" w:rsidRPr="00E14720" w:rsidTr="00D535AD">
        <w:tc>
          <w:tcPr>
            <w:tcW w:w="2658"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Энцефалит (период остаточных явлений)</w:t>
            </w:r>
          </w:p>
        </w:tc>
        <w:tc>
          <w:tcPr>
            <w:tcW w:w="3155" w:type="dxa"/>
            <w:tcBorders>
              <w:top w:val="single" w:sz="4" w:space="0" w:color="000000"/>
              <w:left w:val="single" w:sz="4" w:space="0" w:color="000000"/>
              <w:bottom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Наличие умеренного </w:t>
            </w:r>
            <w:proofErr w:type="spellStart"/>
            <w:r w:rsidRPr="00E14720">
              <w:rPr>
                <w:rFonts w:ascii="Times New Roman" w:hAnsi="Times New Roman" w:cs="Times New Roman"/>
                <w:sz w:val="28"/>
                <w:szCs w:val="28"/>
              </w:rPr>
              <w:t>церебрастенического</w:t>
            </w:r>
            <w:proofErr w:type="spellEnd"/>
            <w:r w:rsidRPr="00E14720">
              <w:rPr>
                <w:rFonts w:ascii="Times New Roman" w:hAnsi="Times New Roman" w:cs="Times New Roman"/>
                <w:sz w:val="28"/>
                <w:szCs w:val="28"/>
              </w:rPr>
              <w:t xml:space="preserve"> синдрома, вегетативного синдрома</w:t>
            </w:r>
          </w:p>
        </w:tc>
        <w:tc>
          <w:tcPr>
            <w:tcW w:w="2912" w:type="dxa"/>
            <w:gridSpan w:val="2"/>
            <w:tcBorders>
              <w:top w:val="single" w:sz="4" w:space="0" w:color="000000"/>
              <w:left w:val="single" w:sz="4" w:space="0" w:color="000000"/>
              <w:bottom w:val="single" w:sz="4" w:space="0" w:color="000000"/>
            </w:tcBorders>
            <w:shd w:val="clear" w:color="auto" w:fill="auto"/>
          </w:tcPr>
          <w:p w:rsidR="009D588B"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 xml:space="preserve">Наличие проявлений </w:t>
            </w:r>
            <w:proofErr w:type="spellStart"/>
            <w:r w:rsidRPr="00E14720">
              <w:rPr>
                <w:rFonts w:ascii="Times New Roman" w:hAnsi="Times New Roman" w:cs="Times New Roman"/>
                <w:sz w:val="28"/>
                <w:szCs w:val="28"/>
              </w:rPr>
              <w:t>церебрастенического</w:t>
            </w:r>
            <w:proofErr w:type="spellEnd"/>
            <w:r w:rsidRPr="00E14720">
              <w:rPr>
                <w:rFonts w:ascii="Times New Roman" w:hAnsi="Times New Roman" w:cs="Times New Roman"/>
                <w:sz w:val="28"/>
                <w:szCs w:val="28"/>
              </w:rPr>
              <w:t xml:space="preserve"> вегетативного синдромов тяжелой степени</w:t>
            </w:r>
          </w:p>
          <w:p w:rsidR="00D535AD" w:rsidRDefault="00D535AD">
            <w:pPr>
              <w:pStyle w:val="NoSpacing"/>
              <w:snapToGrid w:val="0"/>
              <w:spacing w:after="0" w:line="100" w:lineRule="atLeast"/>
              <w:jc w:val="center"/>
              <w:rPr>
                <w:rFonts w:ascii="Times New Roman" w:hAnsi="Times New Roman" w:cs="Times New Roman"/>
                <w:sz w:val="28"/>
                <w:szCs w:val="28"/>
              </w:rPr>
            </w:pPr>
          </w:p>
          <w:p w:rsidR="00D535AD" w:rsidRPr="00E14720" w:rsidRDefault="00D535AD">
            <w:pPr>
              <w:pStyle w:val="NoSpacing"/>
              <w:snapToGrid w:val="0"/>
              <w:spacing w:after="0" w:line="100" w:lineRule="atLeast"/>
              <w:jc w:val="center"/>
              <w:rPr>
                <w:rFonts w:ascii="Times New Roman" w:hAnsi="Times New Roman" w:cs="Times New Roman"/>
                <w:sz w:val="28"/>
                <w:szCs w:val="28"/>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D588B" w:rsidRPr="00E14720" w:rsidRDefault="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12 дней</w:t>
            </w:r>
          </w:p>
        </w:tc>
      </w:tr>
      <w:tr w:rsidR="009D588B" w:rsidRPr="00E14720" w:rsidTr="00D535AD">
        <w:tblPrEx>
          <w:tblCellMar>
            <w:top w:w="55" w:type="dxa"/>
            <w:left w:w="55" w:type="dxa"/>
            <w:bottom w:w="55" w:type="dxa"/>
            <w:right w:w="55" w:type="dxa"/>
          </w:tblCellMar>
        </w:tblPrEx>
        <w:tc>
          <w:tcPr>
            <w:tcW w:w="10065" w:type="dxa"/>
            <w:gridSpan w:val="5"/>
            <w:tcBorders>
              <w:left w:val="single" w:sz="1" w:space="0" w:color="000000"/>
              <w:bottom w:val="single" w:sz="1" w:space="0" w:color="000000"/>
              <w:right w:val="single" w:sz="1" w:space="0" w:color="000000"/>
            </w:tcBorders>
            <w:shd w:val="clear" w:color="auto" w:fill="auto"/>
          </w:tcPr>
          <w:p w:rsidR="009D588B" w:rsidRPr="00E14720" w:rsidRDefault="009D588B">
            <w:pPr>
              <w:pStyle w:val="a9"/>
              <w:snapToGrid w:val="0"/>
              <w:jc w:val="center"/>
              <w:rPr>
                <w:b/>
                <w:bCs/>
                <w:sz w:val="28"/>
                <w:szCs w:val="28"/>
              </w:rPr>
            </w:pPr>
            <w:r w:rsidRPr="00E14720">
              <w:rPr>
                <w:b/>
                <w:bCs/>
                <w:sz w:val="28"/>
                <w:szCs w:val="28"/>
              </w:rPr>
              <w:lastRenderedPageBreak/>
              <w:t>7. Сахарный диабет, осложненные формы</w:t>
            </w:r>
          </w:p>
        </w:tc>
      </w:tr>
      <w:tr w:rsidR="009D588B" w:rsidRPr="00E14720" w:rsidTr="00D535AD">
        <w:tblPrEx>
          <w:tblCellMar>
            <w:top w:w="55" w:type="dxa"/>
            <w:left w:w="55" w:type="dxa"/>
            <w:bottom w:w="55" w:type="dxa"/>
            <w:right w:w="55" w:type="dxa"/>
          </w:tblCellMar>
        </w:tblPrEx>
        <w:tc>
          <w:tcPr>
            <w:tcW w:w="2658"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1. Сахарный диабет 1 тип с поражением печени</w:t>
            </w:r>
          </w:p>
        </w:tc>
        <w:tc>
          <w:tcPr>
            <w:tcW w:w="3155"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Отсутствие выраженных метаболических нарушений и нарушений функции печени</w:t>
            </w:r>
          </w:p>
        </w:tc>
        <w:tc>
          <w:tcPr>
            <w:tcW w:w="2901"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Наличие выраженных метаболических нарушений и нарушений функции печени</w:t>
            </w:r>
          </w:p>
        </w:tc>
        <w:tc>
          <w:tcPr>
            <w:tcW w:w="1351" w:type="dxa"/>
            <w:gridSpan w:val="2"/>
            <w:tcBorders>
              <w:left w:val="single" w:sz="1" w:space="0" w:color="000000"/>
              <w:bottom w:val="single" w:sz="1" w:space="0" w:color="000000"/>
              <w:right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14 дней</w:t>
            </w:r>
          </w:p>
        </w:tc>
      </w:tr>
      <w:tr w:rsidR="009D588B" w:rsidRPr="00E14720" w:rsidTr="00D535AD">
        <w:tblPrEx>
          <w:tblCellMar>
            <w:top w:w="55" w:type="dxa"/>
            <w:left w:w="55" w:type="dxa"/>
            <w:bottom w:w="55" w:type="dxa"/>
            <w:right w:w="55" w:type="dxa"/>
          </w:tblCellMar>
        </w:tblPrEx>
        <w:tc>
          <w:tcPr>
            <w:tcW w:w="2658"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2. Сахарный диабет 1 тип с неврологическими проявлениями</w:t>
            </w:r>
          </w:p>
        </w:tc>
        <w:tc>
          <w:tcPr>
            <w:tcW w:w="3155"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 xml:space="preserve">Отсутствие выраженных метаболических нарушений </w:t>
            </w:r>
          </w:p>
        </w:tc>
        <w:tc>
          <w:tcPr>
            <w:tcW w:w="2901"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 xml:space="preserve">Наличие выраженных метаболических нарушений </w:t>
            </w:r>
          </w:p>
        </w:tc>
        <w:tc>
          <w:tcPr>
            <w:tcW w:w="1351" w:type="dxa"/>
            <w:gridSpan w:val="2"/>
            <w:tcBorders>
              <w:left w:val="single" w:sz="1" w:space="0" w:color="000000"/>
              <w:bottom w:val="single" w:sz="1" w:space="0" w:color="000000"/>
              <w:right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14 дней</w:t>
            </w:r>
          </w:p>
        </w:tc>
      </w:tr>
      <w:tr w:rsidR="009D588B" w:rsidRPr="00E14720" w:rsidTr="00D535AD">
        <w:tblPrEx>
          <w:tblCellMar>
            <w:top w:w="55" w:type="dxa"/>
            <w:left w:w="55" w:type="dxa"/>
            <w:bottom w:w="55" w:type="dxa"/>
            <w:right w:w="55" w:type="dxa"/>
          </w:tblCellMar>
        </w:tblPrEx>
        <w:tc>
          <w:tcPr>
            <w:tcW w:w="2658"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3. Сахарный диабет 1 тип с нарушениями кровообращения</w:t>
            </w:r>
          </w:p>
        </w:tc>
        <w:tc>
          <w:tcPr>
            <w:tcW w:w="3155"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 xml:space="preserve">Отсутствие выраженных метаболических нарушений </w:t>
            </w:r>
          </w:p>
        </w:tc>
        <w:tc>
          <w:tcPr>
            <w:tcW w:w="2901"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 xml:space="preserve">Наличие выраженных метаболических нарушений </w:t>
            </w:r>
          </w:p>
        </w:tc>
        <w:tc>
          <w:tcPr>
            <w:tcW w:w="1351" w:type="dxa"/>
            <w:gridSpan w:val="2"/>
            <w:tcBorders>
              <w:left w:val="single" w:sz="1" w:space="0" w:color="000000"/>
              <w:bottom w:val="single" w:sz="1" w:space="0" w:color="000000"/>
              <w:right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14 дней</w:t>
            </w:r>
          </w:p>
        </w:tc>
      </w:tr>
      <w:tr w:rsidR="009D588B" w:rsidRPr="00E14720" w:rsidTr="00D535AD">
        <w:tblPrEx>
          <w:tblCellMar>
            <w:top w:w="55" w:type="dxa"/>
            <w:left w:w="55" w:type="dxa"/>
            <w:bottom w:w="55" w:type="dxa"/>
            <w:right w:w="55" w:type="dxa"/>
          </w:tblCellMar>
        </w:tblPrEx>
        <w:tc>
          <w:tcPr>
            <w:tcW w:w="2658"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4. Сахарный диабет 1 тип с поражением почек</w:t>
            </w:r>
          </w:p>
        </w:tc>
        <w:tc>
          <w:tcPr>
            <w:tcW w:w="3155"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Отсутствие выраженных метаболических нарушений и почечной достаточности</w:t>
            </w:r>
          </w:p>
          <w:p w:rsidR="009D588B" w:rsidRPr="00E14720" w:rsidRDefault="009D588B">
            <w:pPr>
              <w:pStyle w:val="a9"/>
              <w:rPr>
                <w:sz w:val="28"/>
                <w:szCs w:val="28"/>
              </w:rPr>
            </w:pPr>
          </w:p>
        </w:tc>
        <w:tc>
          <w:tcPr>
            <w:tcW w:w="2901"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Наличие выраженных метаболических нарушений и почечной недостаточности</w:t>
            </w:r>
          </w:p>
        </w:tc>
        <w:tc>
          <w:tcPr>
            <w:tcW w:w="1351" w:type="dxa"/>
            <w:gridSpan w:val="2"/>
            <w:tcBorders>
              <w:left w:val="single" w:sz="1" w:space="0" w:color="000000"/>
              <w:bottom w:val="single" w:sz="1" w:space="0" w:color="000000"/>
              <w:right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14 дней</w:t>
            </w:r>
          </w:p>
        </w:tc>
      </w:tr>
      <w:tr w:rsidR="009D588B" w:rsidRPr="00E14720" w:rsidTr="00D535AD">
        <w:tblPrEx>
          <w:tblCellMar>
            <w:top w:w="55" w:type="dxa"/>
            <w:left w:w="55" w:type="dxa"/>
            <w:bottom w:w="55" w:type="dxa"/>
            <w:right w:w="55" w:type="dxa"/>
          </w:tblCellMar>
        </w:tblPrEx>
        <w:tc>
          <w:tcPr>
            <w:tcW w:w="10065" w:type="dxa"/>
            <w:gridSpan w:val="5"/>
            <w:tcBorders>
              <w:left w:val="single" w:sz="1" w:space="0" w:color="000000"/>
              <w:bottom w:val="single" w:sz="1" w:space="0" w:color="000000"/>
              <w:right w:val="single" w:sz="1" w:space="0" w:color="000000"/>
            </w:tcBorders>
            <w:shd w:val="clear" w:color="auto" w:fill="auto"/>
          </w:tcPr>
          <w:p w:rsidR="009D588B" w:rsidRPr="00E14720" w:rsidRDefault="009D588B">
            <w:pPr>
              <w:pStyle w:val="a9"/>
              <w:snapToGrid w:val="0"/>
              <w:jc w:val="center"/>
              <w:rPr>
                <w:b/>
                <w:bCs/>
                <w:sz w:val="28"/>
                <w:szCs w:val="28"/>
              </w:rPr>
            </w:pPr>
            <w:r w:rsidRPr="00E14720">
              <w:rPr>
                <w:b/>
                <w:bCs/>
                <w:sz w:val="28"/>
                <w:szCs w:val="28"/>
              </w:rPr>
              <w:t>8. Заболевания органов зрения</w:t>
            </w:r>
          </w:p>
        </w:tc>
      </w:tr>
      <w:tr w:rsidR="009D588B" w:rsidRPr="00E14720" w:rsidTr="00D535AD">
        <w:tblPrEx>
          <w:tblCellMar>
            <w:top w:w="55" w:type="dxa"/>
            <w:left w:w="55" w:type="dxa"/>
            <w:bottom w:w="55" w:type="dxa"/>
            <w:right w:w="55" w:type="dxa"/>
          </w:tblCellMar>
        </w:tblPrEx>
        <w:tc>
          <w:tcPr>
            <w:tcW w:w="2658"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1. Миопия средней степени (прогрессирующее течение</w:t>
            </w:r>
          </w:p>
        </w:tc>
        <w:tc>
          <w:tcPr>
            <w:tcW w:w="3155"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Отсутствие интерку</w:t>
            </w:r>
            <w:r w:rsidR="00ED0A86" w:rsidRPr="00E14720">
              <w:rPr>
                <w:sz w:val="28"/>
                <w:szCs w:val="28"/>
              </w:rPr>
              <w:t>р</w:t>
            </w:r>
            <w:r w:rsidRPr="00E14720">
              <w:rPr>
                <w:sz w:val="28"/>
                <w:szCs w:val="28"/>
              </w:rPr>
              <w:t>рентных заболеваний</w:t>
            </w:r>
          </w:p>
        </w:tc>
        <w:tc>
          <w:tcPr>
            <w:tcW w:w="2901"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 xml:space="preserve">Наличие острых и обострение хронических </w:t>
            </w:r>
            <w:r w:rsidR="00ED0A86" w:rsidRPr="00E14720">
              <w:rPr>
                <w:sz w:val="28"/>
                <w:szCs w:val="28"/>
              </w:rPr>
              <w:t>интеркуррентных</w:t>
            </w:r>
            <w:r w:rsidRPr="00E14720">
              <w:rPr>
                <w:sz w:val="28"/>
                <w:szCs w:val="28"/>
              </w:rPr>
              <w:t xml:space="preserve"> заболеваний</w:t>
            </w:r>
          </w:p>
        </w:tc>
        <w:tc>
          <w:tcPr>
            <w:tcW w:w="1351" w:type="dxa"/>
            <w:gridSpan w:val="2"/>
            <w:tcBorders>
              <w:left w:val="single" w:sz="1" w:space="0" w:color="000000"/>
              <w:bottom w:val="single" w:sz="1" w:space="0" w:color="000000"/>
              <w:right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10-14 дней</w:t>
            </w:r>
          </w:p>
        </w:tc>
      </w:tr>
      <w:tr w:rsidR="009D588B" w:rsidRPr="00E14720" w:rsidTr="00D535AD">
        <w:tblPrEx>
          <w:tblCellMar>
            <w:top w:w="55" w:type="dxa"/>
            <w:left w:w="55" w:type="dxa"/>
            <w:bottom w:w="55" w:type="dxa"/>
            <w:right w:w="55" w:type="dxa"/>
          </w:tblCellMar>
        </w:tblPrEx>
        <w:tc>
          <w:tcPr>
            <w:tcW w:w="2658"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2. Атрофия зрительного нерва</w:t>
            </w:r>
          </w:p>
        </w:tc>
        <w:tc>
          <w:tcPr>
            <w:tcW w:w="3155"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Отсутствие интерку</w:t>
            </w:r>
            <w:r w:rsidR="00ED0A86" w:rsidRPr="00E14720">
              <w:rPr>
                <w:sz w:val="28"/>
                <w:szCs w:val="28"/>
              </w:rPr>
              <w:t>р</w:t>
            </w:r>
            <w:r w:rsidRPr="00E14720">
              <w:rPr>
                <w:sz w:val="28"/>
                <w:szCs w:val="28"/>
              </w:rPr>
              <w:t>рентных заболеваний</w:t>
            </w:r>
          </w:p>
        </w:tc>
        <w:tc>
          <w:tcPr>
            <w:tcW w:w="2901"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 xml:space="preserve">Наличие острых и обострение хронических </w:t>
            </w:r>
            <w:r w:rsidR="00ED0A86" w:rsidRPr="00E14720">
              <w:rPr>
                <w:sz w:val="28"/>
                <w:szCs w:val="28"/>
              </w:rPr>
              <w:t>интеркуррентных</w:t>
            </w:r>
            <w:r w:rsidRPr="00E14720">
              <w:rPr>
                <w:sz w:val="28"/>
                <w:szCs w:val="28"/>
              </w:rPr>
              <w:t xml:space="preserve"> заболеваний</w:t>
            </w:r>
          </w:p>
        </w:tc>
        <w:tc>
          <w:tcPr>
            <w:tcW w:w="1351" w:type="dxa"/>
            <w:gridSpan w:val="2"/>
            <w:tcBorders>
              <w:left w:val="single" w:sz="1" w:space="0" w:color="000000"/>
              <w:bottom w:val="single" w:sz="1" w:space="0" w:color="000000"/>
              <w:right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10-14 дней</w:t>
            </w:r>
          </w:p>
        </w:tc>
      </w:tr>
      <w:tr w:rsidR="009D588B" w:rsidRPr="00E14720" w:rsidTr="00D535AD">
        <w:tblPrEx>
          <w:tblCellMar>
            <w:top w:w="55" w:type="dxa"/>
            <w:left w:w="55" w:type="dxa"/>
            <w:bottom w:w="55" w:type="dxa"/>
            <w:right w:w="55" w:type="dxa"/>
          </w:tblCellMar>
        </w:tblPrEx>
        <w:tc>
          <w:tcPr>
            <w:tcW w:w="10065" w:type="dxa"/>
            <w:gridSpan w:val="5"/>
            <w:tcBorders>
              <w:left w:val="single" w:sz="1" w:space="0" w:color="000000"/>
              <w:bottom w:val="single" w:sz="1" w:space="0" w:color="000000"/>
              <w:right w:val="single" w:sz="1" w:space="0" w:color="000000"/>
            </w:tcBorders>
            <w:shd w:val="clear" w:color="auto" w:fill="auto"/>
          </w:tcPr>
          <w:p w:rsidR="009D588B" w:rsidRPr="00E14720" w:rsidRDefault="009D588B">
            <w:pPr>
              <w:pStyle w:val="a9"/>
              <w:snapToGrid w:val="0"/>
              <w:jc w:val="center"/>
              <w:rPr>
                <w:b/>
                <w:bCs/>
                <w:sz w:val="28"/>
                <w:szCs w:val="28"/>
              </w:rPr>
            </w:pPr>
            <w:r w:rsidRPr="00E14720">
              <w:rPr>
                <w:b/>
                <w:bCs/>
                <w:sz w:val="28"/>
                <w:szCs w:val="28"/>
              </w:rPr>
              <w:t>9. Заболевания уха, горла, носа</w:t>
            </w:r>
          </w:p>
        </w:tc>
      </w:tr>
      <w:tr w:rsidR="009D588B" w:rsidRPr="00E14720" w:rsidTr="00D535AD">
        <w:tblPrEx>
          <w:tblCellMar>
            <w:top w:w="55" w:type="dxa"/>
            <w:left w:w="55" w:type="dxa"/>
            <w:bottom w:w="55" w:type="dxa"/>
            <w:right w:w="55" w:type="dxa"/>
          </w:tblCellMar>
        </w:tblPrEx>
        <w:tc>
          <w:tcPr>
            <w:tcW w:w="2658"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1. Сенсорная тугоухость</w:t>
            </w:r>
          </w:p>
        </w:tc>
        <w:tc>
          <w:tcPr>
            <w:tcW w:w="3155"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Отсутствие острых и обострения хронических интеркуррентных заболеваний</w:t>
            </w:r>
          </w:p>
        </w:tc>
        <w:tc>
          <w:tcPr>
            <w:tcW w:w="2901" w:type="dxa"/>
            <w:tcBorders>
              <w:left w:val="single" w:sz="1" w:space="0" w:color="000000"/>
              <w:bottom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Отсутствие острых и обострения хронических интеркуррентных заболеваний</w:t>
            </w:r>
          </w:p>
        </w:tc>
        <w:tc>
          <w:tcPr>
            <w:tcW w:w="1351" w:type="dxa"/>
            <w:gridSpan w:val="2"/>
            <w:tcBorders>
              <w:left w:val="single" w:sz="1" w:space="0" w:color="000000"/>
              <w:bottom w:val="single" w:sz="1" w:space="0" w:color="000000"/>
              <w:right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10 дней</w:t>
            </w:r>
          </w:p>
        </w:tc>
      </w:tr>
      <w:tr w:rsidR="009D588B" w:rsidRPr="00E14720" w:rsidTr="00D535AD">
        <w:tblPrEx>
          <w:tblCellMar>
            <w:top w:w="55" w:type="dxa"/>
            <w:left w:w="55" w:type="dxa"/>
            <w:bottom w:w="55" w:type="dxa"/>
            <w:right w:w="55" w:type="dxa"/>
          </w:tblCellMar>
        </w:tblPrEx>
        <w:tc>
          <w:tcPr>
            <w:tcW w:w="2658" w:type="dxa"/>
            <w:tcBorders>
              <w:left w:val="single" w:sz="1" w:space="0" w:color="000000"/>
              <w:bottom w:val="single" w:sz="4" w:space="0" w:color="auto"/>
            </w:tcBorders>
            <w:shd w:val="clear" w:color="auto" w:fill="auto"/>
          </w:tcPr>
          <w:p w:rsidR="009D588B" w:rsidRPr="00E14720" w:rsidRDefault="009D588B">
            <w:pPr>
              <w:pStyle w:val="a9"/>
              <w:snapToGrid w:val="0"/>
              <w:rPr>
                <w:sz w:val="28"/>
                <w:szCs w:val="28"/>
              </w:rPr>
            </w:pPr>
            <w:r w:rsidRPr="00E14720">
              <w:rPr>
                <w:sz w:val="28"/>
                <w:szCs w:val="28"/>
              </w:rPr>
              <w:t xml:space="preserve">2. Хронический </w:t>
            </w:r>
            <w:proofErr w:type="spellStart"/>
            <w:r w:rsidRPr="00E14720">
              <w:rPr>
                <w:sz w:val="28"/>
                <w:szCs w:val="28"/>
              </w:rPr>
              <w:t>аденоидит</w:t>
            </w:r>
            <w:proofErr w:type="spellEnd"/>
          </w:p>
        </w:tc>
        <w:tc>
          <w:tcPr>
            <w:tcW w:w="3155" w:type="dxa"/>
            <w:tcBorders>
              <w:left w:val="single" w:sz="1" w:space="0" w:color="000000"/>
              <w:bottom w:val="single" w:sz="4" w:space="0" w:color="auto"/>
            </w:tcBorders>
            <w:shd w:val="clear" w:color="auto" w:fill="auto"/>
          </w:tcPr>
          <w:p w:rsidR="009D588B" w:rsidRPr="00E14720" w:rsidRDefault="009D588B">
            <w:pPr>
              <w:pStyle w:val="a9"/>
              <w:snapToGrid w:val="0"/>
              <w:rPr>
                <w:sz w:val="28"/>
                <w:szCs w:val="28"/>
              </w:rPr>
            </w:pPr>
            <w:r w:rsidRPr="00E14720">
              <w:rPr>
                <w:sz w:val="28"/>
                <w:szCs w:val="28"/>
              </w:rPr>
              <w:t>Отсутствие острых и обострения хронических интеркуррентных заболеваний</w:t>
            </w:r>
          </w:p>
        </w:tc>
        <w:tc>
          <w:tcPr>
            <w:tcW w:w="2901" w:type="dxa"/>
            <w:tcBorders>
              <w:left w:val="single" w:sz="1" w:space="0" w:color="000000"/>
              <w:bottom w:val="single" w:sz="4" w:space="0" w:color="auto"/>
            </w:tcBorders>
            <w:shd w:val="clear" w:color="auto" w:fill="auto"/>
          </w:tcPr>
          <w:p w:rsidR="009D588B" w:rsidRDefault="009D588B">
            <w:pPr>
              <w:pStyle w:val="a9"/>
              <w:snapToGrid w:val="0"/>
              <w:rPr>
                <w:sz w:val="28"/>
                <w:szCs w:val="28"/>
              </w:rPr>
            </w:pPr>
            <w:r w:rsidRPr="00E14720">
              <w:rPr>
                <w:sz w:val="28"/>
                <w:szCs w:val="28"/>
              </w:rPr>
              <w:t>Отсутствие острых и обострения хронических интеркуррентных заболеваний</w:t>
            </w:r>
          </w:p>
          <w:p w:rsidR="00D535AD" w:rsidRDefault="00D535AD">
            <w:pPr>
              <w:pStyle w:val="a9"/>
              <w:snapToGrid w:val="0"/>
              <w:rPr>
                <w:sz w:val="28"/>
                <w:szCs w:val="28"/>
              </w:rPr>
            </w:pPr>
          </w:p>
          <w:p w:rsidR="00D535AD" w:rsidRDefault="00D535AD">
            <w:pPr>
              <w:pStyle w:val="a9"/>
              <w:snapToGrid w:val="0"/>
              <w:rPr>
                <w:sz w:val="28"/>
                <w:szCs w:val="28"/>
              </w:rPr>
            </w:pPr>
          </w:p>
          <w:p w:rsidR="00D535AD" w:rsidRPr="00E14720" w:rsidRDefault="00D535AD">
            <w:pPr>
              <w:pStyle w:val="a9"/>
              <w:snapToGrid w:val="0"/>
              <w:rPr>
                <w:sz w:val="28"/>
                <w:szCs w:val="28"/>
              </w:rPr>
            </w:pPr>
            <w:bookmarkStart w:id="0" w:name="_GoBack"/>
            <w:bookmarkEnd w:id="0"/>
          </w:p>
        </w:tc>
        <w:tc>
          <w:tcPr>
            <w:tcW w:w="1351" w:type="dxa"/>
            <w:gridSpan w:val="2"/>
            <w:tcBorders>
              <w:left w:val="single" w:sz="1" w:space="0" w:color="000000"/>
              <w:bottom w:val="single" w:sz="4" w:space="0" w:color="auto"/>
              <w:right w:val="single" w:sz="1" w:space="0" w:color="000000"/>
            </w:tcBorders>
            <w:shd w:val="clear" w:color="auto" w:fill="auto"/>
          </w:tcPr>
          <w:p w:rsidR="009D588B" w:rsidRPr="00E14720" w:rsidRDefault="009D588B">
            <w:pPr>
              <w:pStyle w:val="a9"/>
              <w:snapToGrid w:val="0"/>
              <w:rPr>
                <w:sz w:val="28"/>
                <w:szCs w:val="28"/>
              </w:rPr>
            </w:pPr>
            <w:r w:rsidRPr="00E14720">
              <w:rPr>
                <w:sz w:val="28"/>
                <w:szCs w:val="28"/>
              </w:rPr>
              <w:t>10 дней</w:t>
            </w:r>
          </w:p>
        </w:tc>
      </w:tr>
      <w:tr w:rsidR="00F801D9" w:rsidRPr="00E14720" w:rsidTr="00D535AD">
        <w:tblPrEx>
          <w:tblCellMar>
            <w:top w:w="55" w:type="dxa"/>
            <w:left w:w="55" w:type="dxa"/>
            <w:bottom w:w="55" w:type="dxa"/>
            <w:right w:w="55" w:type="dxa"/>
          </w:tblCellMar>
        </w:tblPrEx>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rsidR="00F801D9" w:rsidRPr="00E14720" w:rsidRDefault="00F801D9" w:rsidP="00F801D9">
            <w:pPr>
              <w:pStyle w:val="a9"/>
              <w:snapToGrid w:val="0"/>
              <w:jc w:val="center"/>
              <w:rPr>
                <w:sz w:val="28"/>
                <w:szCs w:val="28"/>
              </w:rPr>
            </w:pPr>
            <w:r w:rsidRPr="00E14720">
              <w:rPr>
                <w:b/>
                <w:sz w:val="28"/>
                <w:szCs w:val="28"/>
              </w:rPr>
              <w:lastRenderedPageBreak/>
              <w:t>10. Дети-инвалиды</w:t>
            </w:r>
          </w:p>
        </w:tc>
      </w:tr>
      <w:tr w:rsidR="00F801D9" w:rsidRPr="00E14720" w:rsidTr="00D535AD">
        <w:trPr>
          <w:trHeight w:val="1404"/>
        </w:trPr>
        <w:tc>
          <w:tcPr>
            <w:tcW w:w="2658" w:type="dxa"/>
            <w:tcBorders>
              <w:top w:val="single" w:sz="4" w:space="0" w:color="000000"/>
              <w:left w:val="single" w:sz="4" w:space="0" w:color="000000"/>
              <w:bottom w:val="single" w:sz="4" w:space="0" w:color="000000"/>
            </w:tcBorders>
            <w:shd w:val="clear" w:color="auto" w:fill="auto"/>
          </w:tcPr>
          <w:p w:rsidR="00F801D9" w:rsidRPr="00E14720" w:rsidRDefault="00F801D9" w:rsidP="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Неврологический профиль</w:t>
            </w:r>
          </w:p>
        </w:tc>
        <w:tc>
          <w:tcPr>
            <w:tcW w:w="3155" w:type="dxa"/>
            <w:vMerge w:val="restart"/>
            <w:tcBorders>
              <w:top w:val="single" w:sz="4" w:space="0" w:color="000000"/>
              <w:left w:val="single" w:sz="4" w:space="0" w:color="000000"/>
              <w:bottom w:val="single" w:sz="4" w:space="0" w:color="000000"/>
            </w:tcBorders>
            <w:shd w:val="clear" w:color="auto" w:fill="auto"/>
          </w:tcPr>
          <w:p w:rsidR="00F801D9" w:rsidRPr="00E14720" w:rsidRDefault="00F801D9" w:rsidP="00ED0A86">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С целью реабилитации и леч</w:t>
            </w:r>
            <w:r w:rsidR="00ED0A86" w:rsidRPr="00E14720">
              <w:rPr>
                <w:rFonts w:ascii="Times New Roman" w:hAnsi="Times New Roman" w:cs="Times New Roman"/>
                <w:sz w:val="28"/>
                <w:szCs w:val="28"/>
              </w:rPr>
              <w:t>е</w:t>
            </w:r>
            <w:r w:rsidRPr="00E14720">
              <w:rPr>
                <w:rFonts w:ascii="Times New Roman" w:hAnsi="Times New Roman" w:cs="Times New Roman"/>
                <w:sz w:val="28"/>
                <w:szCs w:val="28"/>
              </w:rPr>
              <w:t>ния основной и сопутствующей патологии с обязательным участием в ведении больного врача соответствующей специальности</w:t>
            </w:r>
          </w:p>
        </w:tc>
        <w:tc>
          <w:tcPr>
            <w:tcW w:w="2912" w:type="dxa"/>
            <w:gridSpan w:val="2"/>
            <w:vMerge w:val="restart"/>
            <w:tcBorders>
              <w:top w:val="single" w:sz="4" w:space="0" w:color="000000"/>
              <w:left w:val="single" w:sz="4" w:space="0" w:color="000000"/>
              <w:bottom w:val="single" w:sz="4" w:space="0" w:color="000000"/>
            </w:tcBorders>
            <w:shd w:val="clear" w:color="auto" w:fill="auto"/>
          </w:tcPr>
          <w:p w:rsidR="00F801D9" w:rsidRPr="00E14720" w:rsidRDefault="00F801D9" w:rsidP="009D588B">
            <w:pPr>
              <w:pStyle w:val="NoSpacing"/>
              <w:snapToGrid w:val="0"/>
              <w:spacing w:after="0" w:line="100" w:lineRule="atLeast"/>
              <w:jc w:val="center"/>
              <w:rPr>
                <w:rFonts w:ascii="Times New Roman" w:hAnsi="Times New Roman" w:cs="Times New Roman"/>
                <w:sz w:val="28"/>
                <w:szCs w:val="28"/>
              </w:rPr>
            </w:pPr>
            <w:r w:rsidRPr="00E14720">
              <w:rPr>
                <w:rFonts w:ascii="Times New Roman" w:hAnsi="Times New Roman" w:cs="Times New Roman"/>
                <w:sz w:val="28"/>
                <w:szCs w:val="28"/>
              </w:rPr>
              <w:t>Тяжелое течение заболевания</w:t>
            </w:r>
          </w:p>
        </w:tc>
        <w:tc>
          <w:tcPr>
            <w:tcW w:w="1340" w:type="dxa"/>
            <w:vMerge w:val="restart"/>
            <w:tcBorders>
              <w:top w:val="single" w:sz="4" w:space="0" w:color="000000"/>
              <w:left w:val="single" w:sz="4" w:space="0" w:color="000000"/>
              <w:right w:val="single" w:sz="4" w:space="0" w:color="000000"/>
            </w:tcBorders>
            <w:shd w:val="clear" w:color="auto" w:fill="auto"/>
          </w:tcPr>
          <w:p w:rsidR="00F801D9" w:rsidRPr="00E14720" w:rsidRDefault="00F801D9" w:rsidP="009D588B">
            <w:pPr>
              <w:pStyle w:val="NoSpacing"/>
              <w:snapToGrid w:val="0"/>
              <w:spacing w:after="0" w:line="100" w:lineRule="atLeast"/>
              <w:jc w:val="center"/>
              <w:rPr>
                <w:rFonts w:ascii="Times New Roman" w:hAnsi="Times New Roman" w:cs="Times New Roman"/>
                <w:sz w:val="28"/>
                <w:szCs w:val="28"/>
              </w:rPr>
            </w:pPr>
          </w:p>
        </w:tc>
      </w:tr>
      <w:tr w:rsidR="00F801D9" w:rsidRPr="00E14720" w:rsidTr="00D535AD">
        <w:tc>
          <w:tcPr>
            <w:tcW w:w="2658" w:type="dxa"/>
            <w:tcBorders>
              <w:top w:val="single" w:sz="4" w:space="0" w:color="000000"/>
              <w:left w:val="single" w:sz="4" w:space="0" w:color="000000"/>
              <w:bottom w:val="single" w:sz="4" w:space="0" w:color="000000"/>
            </w:tcBorders>
            <w:shd w:val="clear" w:color="auto" w:fill="auto"/>
          </w:tcPr>
          <w:p w:rsidR="00F801D9" w:rsidRPr="00E14720" w:rsidRDefault="00F801D9" w:rsidP="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Ортопедический профиль</w:t>
            </w:r>
          </w:p>
        </w:tc>
        <w:tc>
          <w:tcPr>
            <w:tcW w:w="3155" w:type="dxa"/>
            <w:vMerge/>
            <w:tcBorders>
              <w:top w:val="single" w:sz="4" w:space="0" w:color="000000"/>
              <w:left w:val="single" w:sz="4" w:space="0" w:color="000000"/>
              <w:bottom w:val="single" w:sz="4" w:space="0" w:color="000000"/>
            </w:tcBorders>
            <w:shd w:val="clear" w:color="auto" w:fill="auto"/>
          </w:tcPr>
          <w:p w:rsidR="00F801D9" w:rsidRPr="00E14720" w:rsidRDefault="00F801D9" w:rsidP="009D588B">
            <w:pPr>
              <w:pStyle w:val="NoSpacing"/>
              <w:snapToGrid w:val="0"/>
              <w:spacing w:after="0" w:line="100" w:lineRule="atLeast"/>
              <w:jc w:val="center"/>
              <w:rPr>
                <w:rFonts w:ascii="Times New Roman" w:hAnsi="Times New Roman" w:cs="Times New Roman"/>
                <w:sz w:val="28"/>
                <w:szCs w:val="28"/>
              </w:rPr>
            </w:pPr>
          </w:p>
        </w:tc>
        <w:tc>
          <w:tcPr>
            <w:tcW w:w="2912" w:type="dxa"/>
            <w:gridSpan w:val="2"/>
            <w:vMerge/>
            <w:tcBorders>
              <w:top w:val="single" w:sz="4" w:space="0" w:color="000000"/>
              <w:left w:val="single" w:sz="4" w:space="0" w:color="000000"/>
              <w:bottom w:val="single" w:sz="4" w:space="0" w:color="000000"/>
            </w:tcBorders>
            <w:shd w:val="clear" w:color="auto" w:fill="auto"/>
          </w:tcPr>
          <w:p w:rsidR="00F801D9" w:rsidRPr="00E14720" w:rsidRDefault="00F801D9" w:rsidP="009D588B">
            <w:pPr>
              <w:pStyle w:val="NoSpacing"/>
              <w:snapToGrid w:val="0"/>
              <w:spacing w:after="0" w:line="100" w:lineRule="atLeast"/>
              <w:jc w:val="center"/>
              <w:rPr>
                <w:rFonts w:ascii="Times New Roman" w:hAnsi="Times New Roman" w:cs="Times New Roman"/>
                <w:sz w:val="28"/>
                <w:szCs w:val="28"/>
              </w:rPr>
            </w:pPr>
          </w:p>
        </w:tc>
        <w:tc>
          <w:tcPr>
            <w:tcW w:w="1340" w:type="dxa"/>
            <w:vMerge/>
            <w:tcBorders>
              <w:left w:val="single" w:sz="4" w:space="0" w:color="000000"/>
              <w:right w:val="single" w:sz="4" w:space="0" w:color="000000"/>
            </w:tcBorders>
            <w:shd w:val="clear" w:color="auto" w:fill="auto"/>
          </w:tcPr>
          <w:p w:rsidR="00F801D9" w:rsidRPr="00E14720" w:rsidRDefault="00F801D9" w:rsidP="009D588B">
            <w:pPr>
              <w:pStyle w:val="NoSpacing"/>
              <w:snapToGrid w:val="0"/>
              <w:spacing w:after="0" w:line="100" w:lineRule="atLeast"/>
              <w:jc w:val="center"/>
              <w:rPr>
                <w:rFonts w:ascii="Times New Roman" w:hAnsi="Times New Roman" w:cs="Times New Roman"/>
                <w:sz w:val="28"/>
                <w:szCs w:val="28"/>
              </w:rPr>
            </w:pPr>
          </w:p>
        </w:tc>
      </w:tr>
      <w:tr w:rsidR="00F801D9" w:rsidRPr="00E14720" w:rsidTr="00D535AD">
        <w:tc>
          <w:tcPr>
            <w:tcW w:w="2658" w:type="dxa"/>
            <w:tcBorders>
              <w:top w:val="single" w:sz="4" w:space="0" w:color="000000"/>
              <w:left w:val="single" w:sz="4" w:space="0" w:color="000000"/>
              <w:bottom w:val="single" w:sz="4" w:space="0" w:color="000000"/>
            </w:tcBorders>
            <w:shd w:val="clear" w:color="auto" w:fill="auto"/>
          </w:tcPr>
          <w:p w:rsidR="00F801D9" w:rsidRPr="00E14720" w:rsidRDefault="00F801D9" w:rsidP="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Отоларингологический профиль</w:t>
            </w:r>
          </w:p>
        </w:tc>
        <w:tc>
          <w:tcPr>
            <w:tcW w:w="3155" w:type="dxa"/>
            <w:vMerge/>
            <w:tcBorders>
              <w:top w:val="single" w:sz="4" w:space="0" w:color="000000"/>
              <w:left w:val="single" w:sz="4" w:space="0" w:color="000000"/>
              <w:bottom w:val="single" w:sz="4" w:space="0" w:color="000000"/>
            </w:tcBorders>
            <w:shd w:val="clear" w:color="auto" w:fill="auto"/>
          </w:tcPr>
          <w:p w:rsidR="00F801D9" w:rsidRPr="00E14720" w:rsidRDefault="00F801D9" w:rsidP="009D588B">
            <w:pPr>
              <w:pStyle w:val="NoSpacing"/>
              <w:snapToGrid w:val="0"/>
              <w:spacing w:after="0" w:line="100" w:lineRule="atLeast"/>
              <w:jc w:val="center"/>
              <w:rPr>
                <w:rFonts w:ascii="Times New Roman" w:hAnsi="Times New Roman" w:cs="Times New Roman"/>
                <w:sz w:val="28"/>
                <w:szCs w:val="28"/>
              </w:rPr>
            </w:pPr>
          </w:p>
        </w:tc>
        <w:tc>
          <w:tcPr>
            <w:tcW w:w="2912" w:type="dxa"/>
            <w:gridSpan w:val="2"/>
            <w:vMerge/>
            <w:tcBorders>
              <w:top w:val="single" w:sz="4" w:space="0" w:color="000000"/>
              <w:left w:val="single" w:sz="4" w:space="0" w:color="000000"/>
              <w:bottom w:val="single" w:sz="4" w:space="0" w:color="000000"/>
            </w:tcBorders>
            <w:shd w:val="clear" w:color="auto" w:fill="auto"/>
          </w:tcPr>
          <w:p w:rsidR="00F801D9" w:rsidRPr="00E14720" w:rsidRDefault="00F801D9" w:rsidP="009D588B">
            <w:pPr>
              <w:pStyle w:val="NoSpacing"/>
              <w:snapToGrid w:val="0"/>
              <w:spacing w:after="0" w:line="100" w:lineRule="atLeast"/>
              <w:jc w:val="center"/>
              <w:rPr>
                <w:rFonts w:ascii="Times New Roman" w:hAnsi="Times New Roman" w:cs="Times New Roman"/>
                <w:sz w:val="28"/>
                <w:szCs w:val="28"/>
              </w:rPr>
            </w:pPr>
          </w:p>
        </w:tc>
        <w:tc>
          <w:tcPr>
            <w:tcW w:w="1340" w:type="dxa"/>
            <w:vMerge/>
            <w:tcBorders>
              <w:left w:val="single" w:sz="4" w:space="0" w:color="000000"/>
              <w:right w:val="single" w:sz="4" w:space="0" w:color="000000"/>
            </w:tcBorders>
            <w:shd w:val="clear" w:color="auto" w:fill="auto"/>
          </w:tcPr>
          <w:p w:rsidR="00F801D9" w:rsidRPr="00E14720" w:rsidRDefault="00F801D9" w:rsidP="009D588B">
            <w:pPr>
              <w:pStyle w:val="NoSpacing"/>
              <w:snapToGrid w:val="0"/>
              <w:spacing w:after="0" w:line="100" w:lineRule="atLeast"/>
              <w:jc w:val="center"/>
              <w:rPr>
                <w:rFonts w:ascii="Times New Roman" w:hAnsi="Times New Roman" w:cs="Times New Roman"/>
                <w:sz w:val="28"/>
                <w:szCs w:val="28"/>
              </w:rPr>
            </w:pPr>
          </w:p>
        </w:tc>
      </w:tr>
      <w:tr w:rsidR="00F801D9" w:rsidRPr="00E14720" w:rsidTr="00D535AD">
        <w:tc>
          <w:tcPr>
            <w:tcW w:w="2658" w:type="dxa"/>
            <w:tcBorders>
              <w:top w:val="single" w:sz="4" w:space="0" w:color="000000"/>
              <w:left w:val="single" w:sz="4" w:space="0" w:color="000000"/>
              <w:bottom w:val="single" w:sz="4" w:space="0" w:color="000000"/>
            </w:tcBorders>
            <w:shd w:val="clear" w:color="auto" w:fill="auto"/>
          </w:tcPr>
          <w:p w:rsidR="00F801D9" w:rsidRPr="00E14720" w:rsidRDefault="00F801D9" w:rsidP="009D588B">
            <w:pPr>
              <w:pStyle w:val="NoSpacing"/>
              <w:snapToGrid w:val="0"/>
              <w:spacing w:after="0" w:line="100" w:lineRule="atLeast"/>
              <w:rPr>
                <w:rFonts w:ascii="Times New Roman" w:hAnsi="Times New Roman" w:cs="Times New Roman"/>
                <w:sz w:val="28"/>
                <w:szCs w:val="28"/>
              </w:rPr>
            </w:pPr>
            <w:r w:rsidRPr="00E14720">
              <w:rPr>
                <w:rFonts w:ascii="Times New Roman" w:hAnsi="Times New Roman" w:cs="Times New Roman"/>
                <w:sz w:val="28"/>
                <w:szCs w:val="28"/>
              </w:rPr>
              <w:t>Педиатрический профиль</w:t>
            </w:r>
          </w:p>
        </w:tc>
        <w:tc>
          <w:tcPr>
            <w:tcW w:w="3155" w:type="dxa"/>
            <w:vMerge/>
            <w:tcBorders>
              <w:top w:val="single" w:sz="4" w:space="0" w:color="000000"/>
              <w:left w:val="single" w:sz="4" w:space="0" w:color="000000"/>
              <w:bottom w:val="single" w:sz="4" w:space="0" w:color="000000"/>
            </w:tcBorders>
            <w:shd w:val="clear" w:color="auto" w:fill="auto"/>
          </w:tcPr>
          <w:p w:rsidR="00F801D9" w:rsidRPr="00E14720" w:rsidRDefault="00F801D9" w:rsidP="009D588B">
            <w:pPr>
              <w:pStyle w:val="NoSpacing"/>
              <w:snapToGrid w:val="0"/>
              <w:spacing w:after="0" w:line="100" w:lineRule="atLeast"/>
              <w:jc w:val="center"/>
              <w:rPr>
                <w:rFonts w:ascii="Times New Roman" w:hAnsi="Times New Roman" w:cs="Times New Roman"/>
                <w:sz w:val="28"/>
                <w:szCs w:val="28"/>
              </w:rPr>
            </w:pPr>
          </w:p>
        </w:tc>
        <w:tc>
          <w:tcPr>
            <w:tcW w:w="2912" w:type="dxa"/>
            <w:gridSpan w:val="2"/>
            <w:vMerge/>
            <w:tcBorders>
              <w:top w:val="single" w:sz="4" w:space="0" w:color="000000"/>
              <w:left w:val="single" w:sz="4" w:space="0" w:color="000000"/>
              <w:bottom w:val="single" w:sz="4" w:space="0" w:color="000000"/>
            </w:tcBorders>
            <w:shd w:val="clear" w:color="auto" w:fill="auto"/>
          </w:tcPr>
          <w:p w:rsidR="00F801D9" w:rsidRPr="00E14720" w:rsidRDefault="00F801D9" w:rsidP="009D588B">
            <w:pPr>
              <w:pStyle w:val="NoSpacing"/>
              <w:snapToGrid w:val="0"/>
              <w:spacing w:after="0" w:line="100" w:lineRule="atLeast"/>
              <w:jc w:val="center"/>
              <w:rPr>
                <w:rFonts w:ascii="Times New Roman" w:hAnsi="Times New Roman" w:cs="Times New Roman"/>
                <w:sz w:val="28"/>
                <w:szCs w:val="28"/>
              </w:rPr>
            </w:pPr>
          </w:p>
        </w:tc>
        <w:tc>
          <w:tcPr>
            <w:tcW w:w="1340" w:type="dxa"/>
            <w:vMerge/>
            <w:tcBorders>
              <w:left w:val="single" w:sz="4" w:space="0" w:color="000000"/>
              <w:bottom w:val="single" w:sz="4" w:space="0" w:color="000000"/>
              <w:right w:val="single" w:sz="4" w:space="0" w:color="000000"/>
            </w:tcBorders>
            <w:shd w:val="clear" w:color="auto" w:fill="auto"/>
          </w:tcPr>
          <w:p w:rsidR="00F801D9" w:rsidRPr="00E14720" w:rsidRDefault="00F801D9" w:rsidP="009D588B">
            <w:pPr>
              <w:pStyle w:val="NoSpacing"/>
              <w:snapToGrid w:val="0"/>
              <w:spacing w:after="0" w:line="100" w:lineRule="atLeast"/>
              <w:jc w:val="center"/>
              <w:rPr>
                <w:rFonts w:ascii="Times New Roman" w:hAnsi="Times New Roman" w:cs="Times New Roman"/>
                <w:sz w:val="28"/>
                <w:szCs w:val="28"/>
              </w:rPr>
            </w:pPr>
          </w:p>
        </w:tc>
      </w:tr>
    </w:tbl>
    <w:p w:rsidR="009D588B" w:rsidRPr="00E14720" w:rsidRDefault="009D588B">
      <w:pPr>
        <w:ind w:left="360"/>
        <w:rPr>
          <w:sz w:val="28"/>
          <w:szCs w:val="28"/>
        </w:rPr>
      </w:pPr>
    </w:p>
    <w:sectPr w:rsidR="009D588B" w:rsidRPr="00E14720" w:rsidSect="00673773">
      <w:pgSz w:w="11906" w:h="16838"/>
      <w:pgMar w:top="284" w:right="1133" w:bottom="1134" w:left="156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ont203">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1140" w:hanging="4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7" w15:restartNumberingAfterBreak="0">
    <w:nsid w:val="00000008"/>
    <w:multiLevelType w:val="multilevel"/>
    <w:tmpl w:val="BFF0E6C0"/>
    <w:name w:val="WW8Num8"/>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14D4482F"/>
    <w:multiLevelType w:val="hybridMultilevel"/>
    <w:tmpl w:val="08F01E2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656A65"/>
    <w:multiLevelType w:val="multilevel"/>
    <w:tmpl w:val="2CE6CDC2"/>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31317409"/>
    <w:multiLevelType w:val="hybridMultilevel"/>
    <w:tmpl w:val="0316E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602EB8"/>
    <w:multiLevelType w:val="hybridMultilevel"/>
    <w:tmpl w:val="76123262"/>
    <w:lvl w:ilvl="0" w:tplc="CE3ECBC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573CBD"/>
    <w:multiLevelType w:val="hybridMultilevel"/>
    <w:tmpl w:val="D040C60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AB83592"/>
    <w:multiLevelType w:val="hybridMultilevel"/>
    <w:tmpl w:val="9386E700"/>
    <w:lvl w:ilvl="0" w:tplc="3FFAE0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1774CF"/>
    <w:multiLevelType w:val="hybridMultilevel"/>
    <w:tmpl w:val="AF08428A"/>
    <w:lvl w:ilvl="0" w:tplc="3570500E">
      <w:start w:val="1"/>
      <w:numFmt w:val="decimal"/>
      <w:lvlText w:val="%1."/>
      <w:lvlJc w:val="left"/>
      <w:pPr>
        <w:ind w:left="720" w:hanging="360"/>
      </w:pPr>
      <w:rPr>
        <w:rFonts w:ascii="Cambria" w:hAnsi="Cambr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EF5162"/>
    <w:multiLevelType w:val="hybridMultilevel"/>
    <w:tmpl w:val="9B745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6B2932"/>
    <w:multiLevelType w:val="multilevel"/>
    <w:tmpl w:val="2CE6CDC2"/>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2" w15:restartNumberingAfterBreak="0">
    <w:nsid w:val="7882681F"/>
    <w:multiLevelType w:val="hybridMultilevel"/>
    <w:tmpl w:val="98A8D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9"/>
  </w:num>
  <w:num w:numId="15">
    <w:abstractNumId w:val="22"/>
  </w:num>
  <w:num w:numId="16">
    <w:abstractNumId w:val="16"/>
  </w:num>
  <w:num w:numId="17">
    <w:abstractNumId w:val="20"/>
  </w:num>
  <w:num w:numId="18">
    <w:abstractNumId w:val="15"/>
  </w:num>
  <w:num w:numId="19">
    <w:abstractNumId w:val="13"/>
  </w:num>
  <w:num w:numId="20">
    <w:abstractNumId w:val="21"/>
  </w:num>
  <w:num w:numId="21">
    <w:abstractNumId w:val="14"/>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D0"/>
    <w:rsid w:val="000B5571"/>
    <w:rsid w:val="001004B3"/>
    <w:rsid w:val="00156981"/>
    <w:rsid w:val="00295A2B"/>
    <w:rsid w:val="002E411B"/>
    <w:rsid w:val="00384C46"/>
    <w:rsid w:val="003E3145"/>
    <w:rsid w:val="0040601C"/>
    <w:rsid w:val="0046344E"/>
    <w:rsid w:val="004D3678"/>
    <w:rsid w:val="005201A3"/>
    <w:rsid w:val="00525BD4"/>
    <w:rsid w:val="005A23AB"/>
    <w:rsid w:val="00672650"/>
    <w:rsid w:val="00673773"/>
    <w:rsid w:val="006C4822"/>
    <w:rsid w:val="006F27C6"/>
    <w:rsid w:val="007330D1"/>
    <w:rsid w:val="00734E8D"/>
    <w:rsid w:val="007665D0"/>
    <w:rsid w:val="007F6E59"/>
    <w:rsid w:val="00860586"/>
    <w:rsid w:val="00971495"/>
    <w:rsid w:val="009D588B"/>
    <w:rsid w:val="00A52856"/>
    <w:rsid w:val="00A90110"/>
    <w:rsid w:val="00AF0A8B"/>
    <w:rsid w:val="00B47850"/>
    <w:rsid w:val="00D227CD"/>
    <w:rsid w:val="00D30A33"/>
    <w:rsid w:val="00D52C08"/>
    <w:rsid w:val="00D535AD"/>
    <w:rsid w:val="00E14720"/>
    <w:rsid w:val="00E2675E"/>
    <w:rsid w:val="00ED0A86"/>
    <w:rsid w:val="00F8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5D8B57A-A570-42FA-8B4E-F4A0B1F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00" w:lineRule="atLeast"/>
    </w:pPr>
    <w:rPr>
      <w:kern w:val="1"/>
      <w:sz w:val="24"/>
      <w:szCs w:val="24"/>
      <w:lang w:eastAsia="ar-SA"/>
    </w:rPr>
  </w:style>
  <w:style w:type="paragraph" w:styleId="1">
    <w:name w:val="heading 1"/>
    <w:basedOn w:val="a"/>
    <w:next w:val="a0"/>
    <w:qFormat/>
    <w:pPr>
      <w:keepNext/>
      <w:numPr>
        <w:numId w:val="1"/>
      </w:numPr>
      <w:outlineLvl w:val="0"/>
    </w:pPr>
    <w:rPr>
      <w:sz w:val="28"/>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Absatz-Standardschriftart111">
    <w:name w:val="WW-Absatz-Standardschriftart111"/>
  </w:style>
  <w:style w:type="character" w:customStyle="1" w:styleId="ListLabel1">
    <w:name w:val="ListLabel 1"/>
    <w:rPr>
      <w:rFonts w:cs="Courier New"/>
    </w:rPr>
  </w:style>
  <w:style w:type="character" w:customStyle="1" w:styleId="DefaultParagraphFont">
    <w:name w:val="Default Paragraph Font"/>
  </w:style>
  <w:style w:type="character" w:customStyle="1" w:styleId="10">
    <w:name w:val="Заголовок 1 Знак"/>
    <w:basedOn w:val="DefaultParagraphFont"/>
  </w:style>
  <w:style w:type="character" w:styleId="a4">
    <w:name w:val="Hyperlink"/>
    <w:basedOn w:val="DefaultParagraphFont"/>
    <w:rPr>
      <w:color w:val="0000FF"/>
      <w:u w:val="single"/>
      <w:lang/>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0"/>
    <w:pPr>
      <w:keepNext/>
      <w:spacing w:before="240" w:after="120"/>
    </w:pPr>
    <w:rPr>
      <w:rFonts w:ascii="Arial" w:eastAsia="Lucida Sans Unicode" w:hAnsi="Arial" w:cs="Mangal"/>
      <w:sz w:val="28"/>
      <w:szCs w:val="28"/>
    </w:rPr>
  </w:style>
  <w:style w:type="paragraph" w:styleId="a0">
    <w:name w:val="Body Text"/>
    <w:basedOn w:val="a"/>
    <w:pPr>
      <w:spacing w:after="120"/>
    </w:pPr>
  </w:style>
  <w:style w:type="paragraph" w:styleId="a8">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ListParagraph">
    <w:name w:val="List Paragraph"/>
    <w:basedOn w:val="a"/>
  </w:style>
  <w:style w:type="paragraph" w:customStyle="1" w:styleId="NoSpacing">
    <w:name w:val="No Spacing"/>
    <w:pPr>
      <w:widowControl w:val="0"/>
      <w:suppressAutoHyphens/>
      <w:spacing w:after="200" w:line="276" w:lineRule="auto"/>
    </w:pPr>
    <w:rPr>
      <w:rFonts w:ascii="Calibri" w:eastAsia="Lucida Sans Unicode" w:hAnsi="Calibri" w:cs="font203"/>
      <w:kern w:val="1"/>
      <w:sz w:val="22"/>
      <w:szCs w:val="22"/>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table" w:styleId="ab">
    <w:name w:val="Table Grid"/>
    <w:basedOn w:val="a2"/>
    <w:uiPriority w:val="59"/>
    <w:rsid w:val="00A9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46EA-EEFD-44D1-99C7-0ADADD90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Links>
    <vt:vector size="6" baseType="variant">
      <vt:variant>
        <vt:i4>4784191</vt:i4>
      </vt:variant>
      <vt:variant>
        <vt:i4>0</vt:i4>
      </vt:variant>
      <vt:variant>
        <vt:i4>0</vt:i4>
      </vt:variant>
      <vt:variant>
        <vt:i4>5</vt:i4>
      </vt:variant>
      <vt:variant>
        <vt:lpwstr>mailto:dgp8@mail.ru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cp:lastModifiedBy>User</cp:lastModifiedBy>
  <cp:revision>8</cp:revision>
  <cp:lastPrinted>2006-12-31T22:52:00Z</cp:lastPrinted>
  <dcterms:created xsi:type="dcterms:W3CDTF">2018-09-06T03:32:00Z</dcterms:created>
  <dcterms:modified xsi:type="dcterms:W3CDTF">2018-09-06T03:48:00Z</dcterms:modified>
</cp:coreProperties>
</file>