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5D7BA3" w:rsidRPr="005D7BA3" w:rsidTr="005D7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и условия оказания медицинской помощи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     </w:t>
            </w: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В рамках Программы государственных гарантий  бесплатно предоставляются: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 первичная медико-санитарная помощь;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 специализированная, в том числе высокотехнологичная, медицинская помощь.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Первичная медико-санитарная помощь оказывается бесплатно в амбулаторных условиях и в условиях дневного стационара.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Медицинская помощь гражданам предоставляется: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 учреждениями и структурными подразделениями ГБУЗ «Городской родильный дом»;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Скорая, в том числе специализированная акушерско-гинекологическая, медицинская помощь оказывается безотлагательно гражданам при состояниях, требующих срочного медицинского вмешательства (несчастные случаи, а также другие состояния и заболевания), учреждениями и подразделениями ГБУЗ «Городской родильный дом».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Амбулаторно-поликлиническая медицинская помощь предоставляется гражданам при заболеваниях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Амбулаторно-поликлиническая помощь включает мероприятия по профилактике, диагностике и лечению заболеваний в женской консультации, на дому, в дневных стационарах амбулаторно-поликлинических учреждений.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Стационарная медицинская помощь предоставляется гражданам в случаях заболеваний, в том числе острых, обострения хронических заболеваний,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показаниям, в круглосуточных стационарах (отделениях, палатах) и дневных стационарах больничных учреждений.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Мероприятия по восстановительному лечению и реабилитации больных осуществляются в амбулаторно-поликлинических и больничных учреждениях ГБУЗ «Городской родильный дом».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специализированными продуктами лечебного питания.</w:t>
            </w:r>
          </w:p>
          <w:p w:rsidR="005D7BA3" w:rsidRPr="005D7BA3" w:rsidRDefault="005D7BA3" w:rsidP="005D7BA3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соответствии с договорами на оказание медицинской помощи по обязательному медицинскому страхованию.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Порядок и условия оказания бесплатной медицинской помощи в учреждениях здравоохранения Сахалинской области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Бесплатная медицинская помощь  по Областной программе оказывается гражданам Российской Федерации, в том числе временно пребывающим на территории Сахалинской области, зарегистрированным, работающим и (или) проживающим на территории Сахалинской области при представлении:</w:t>
            </w: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br/>
              <w:t> - документа, удостоверяющего личность;</w:t>
            </w: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br/>
              <w:t> - полиса обязательного медицинского страхования.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Гражданам независимо от места проживания, наличия документов, удостоверяющих личность, страхового медицинского полиса, при состояниях, угрожающих жизни или здоровью гражданина или окружающих его лиц, оказывается скорая и неотложная медицинская помощь в стационарных, амбулаторно-поликлинических учреждениях и на дому.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Сроки ожидания медицинской помощи, оказываемой в плановой форме, в том числе сроки ожидания оказания медицинской помощи в стационарных условиях, проведения отдельных диагностических обследований, а также консультаций врачей-специалистов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женской консультации по направлению регистратора безотлагательно.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Плановая медицинская помощь в стационарных условиях предоставляется гражданам в порядке очередности в рамках утвержденных объемов.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Возможно ожидание срока плановой госпитализации: в стационарные отделения не более 10 дней.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Плановая госпитализация осуществляется по направлению медицинской организации, осуществляющей первичную медико-санитарную помощь.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Направление на плановую госпитализацию в стационарное отделение специализированного государственного учреждения здравоохранения Сахалинской области осуществляется врачами специалистами амбулаторно-поликлинического отделения специализированного государственного учреждения здравоохранения Сахалинской области.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часов. При угрожающих жизни состояниях больной должен быть осмотрен врачом и госпитализирован немедленно.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Условия пребывания в ГБУЗ «Городской родильный дом»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-при наличии медицинских показаний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Объем обследования и лечения, продолжительность пребывания в круглосуточном стационаре и дневном стационаре определяются лечащим врачом в соответствии с состоянием больного, медицинскими показаниями и федеральными стандартами оказания медицинской помощи. Пациенты стационаров медицинских организаций обеспечиваются бесплатным лечебным питанием в соответствии с требованиями приказа Министерства здравоохранения Российской Федерации от 05.08.2003 N 330 "О мерах по совершенствованию лечебного питания в лечебно-профилактических учреждениях Российской Федерации".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Порядок реализации установленного законодательством Российской Федерации права внеочередного оказания медицинской помощи отдельным категориям граждан в ГБУЗ «Городской родильный дом»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 Право внеочередного оказания медицинской помощи отдельным категориям граждан в медицинских организациях, участвующих в реализации Территориальной программы, имеют следующие категории граждан: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    - инвалиды войны;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участники Великой Отечественной войны;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ветераны боевых действий;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лица, награжденные знаком "Жителю блокадного Ленинграда";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нетрудоспособные члены семей погибших (умерших) инвалидов войны,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граждане, подвергшиеся воздействию радиации вследствие чернобыльской катастрофы, и приравненные к ним категории граждан;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Герои Советского Союза, Герои Российской Федерации, полные кавалеры ордена Славы;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Герои Социалистического Труда, вдовы (вдовцы) Героев Социалистического Труда, не вступившие в повторный брак (независимо от даты смерти (гибели) Героя Социалистического Труда);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полные кавалеры ордена Трудовой Славы, вдовы (вдовцы) полных кавалеров ордена Трудовой Славы, не вступившие в повторный брак (независимо от даты смерти (гибели) полного кавалера ордена Трудовой Славы);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лица, награжденные знаками "Почетный донор СССР", "Почетный донор России";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дети инвалиды;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инвалиды I и II групп;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   - другие категории граждан в случаях, предусмотренных законодательством.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Основанием для внеочередного оказания медицинской помощи является документ, подтверждающий принадлежность гражданина к определенной категории.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Arial" w:eastAsia="Times New Roman" w:hAnsi="Arial" w:cs="Arial"/>
                <w:color w:val="44483D"/>
                <w:sz w:val="21"/>
                <w:szCs w:val="21"/>
                <w:bdr w:val="none" w:sz="0" w:space="0" w:color="auto" w:frame="1"/>
                <w:lang w:eastAsia="ru-RU"/>
              </w:rPr>
              <w:t>Внеочередное оказание медицинской помощи в условиях стационара осуществляется при наличии у граждан медицинских показаний.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 случае обращения нескольких граждан, имеющих право на внеочередное оказание медицинской помощи, помощь оказывается в порядке поступления обращений.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Условия реализации установленного законодательством Российской Федерации права на выбор врача, в том числе врача общей практики (семейного врача) и лечащего врача (с учетом согласия врача)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Реализация права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осуществляется в соответствии с приказом Министерства здравоохранения и социального развития Российской Федерации от 26.04.2012 N 406н на основании письменного заявления на имя руководителя медицинской организации в соответствии с ресурсными возможностями учреждения: мощностью, укомплектованностью медицинскими кадрами.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законного представителя на имя руководителя медицинской организации.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Оказание содействия руководителем медицинской организации (ее подразделения) выбору пациентом врача в случае требования пациента о замене лечащего врача осуществляется в порядке, установленном приказом Министерства здравоохранения и социального развития Российской Федерации от 26.04.2012 N 407н.</w: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Возложение функций лечащего врача на врача соответствующей специальности осуществляет руководитель медицинской организации с учетом согласия врача.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Условия размещения пациентов в маломестных палатах (боксах) по медицинским и (или) эпидемиологическим показаниям, установленным Министерством здравоохранения Российской Федерации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 ГБУЗ "Городской родильный дом" пациенты могут быть размещены в палатах на 3 и более мест.</w:t>
            </w:r>
          </w:p>
          <w:p w:rsidR="005D7BA3" w:rsidRPr="005D7BA3" w:rsidRDefault="005D7BA3" w:rsidP="005D7BA3">
            <w:pPr>
              <w:spacing w:after="192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Пациенты, имеющие медицинские и (или) эпидемиологические показания из перечня, утвержденного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(боксах). 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bdr w:val="none" w:sz="0" w:space="0" w:color="auto" w:frame="1"/>
                <w:lang w:eastAsia="ru-RU"/>
              </w:rPr>
              <w:t>Условия оказания стационарной медицинской помощи: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Объем диагностических и лечебных мероприятий для конкретного пациента определяется лечащим врачом в соответствии со стандартами объемов медицинской помощи (протоколами диагностики и лечения) с применением современных медицинских технологий.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Перечень сложных диагностических исследований, предоставляемых по Программе ОМС, определен министерством здравоохранения Сахалинской области.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Возможное наличие очереди на плановую госпитализацию. Максимальные сроки ожидания очереди на плановую госпитализацию в специализированные отделения больницы до 10 дней.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Возможное размещение больных в палатах на 4 и более мест.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Питание больных, проведение лечебно-диагностических мероприятий, лекарственное обеспечение с момента поступления в стационар и соответствующих назначений лечащего врача.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Перевод в ЛПУ более высокого уровня по медицинским показаниям.</w:t>
            </w:r>
          </w:p>
          <w:p w:rsidR="005D7BA3" w:rsidRPr="005D7BA3" w:rsidRDefault="005D7BA3" w:rsidP="005D7BA3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Экстренная помощь пациентам, находящимся на лечении.</w:t>
            </w:r>
          </w:p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D7BA3" w:rsidRPr="005D7BA3" w:rsidRDefault="005D7BA3" w:rsidP="005D7BA3">
            <w:pPr>
              <w:spacing w:after="192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</w:p>
          <w:p w:rsidR="005D7BA3" w:rsidRPr="005D7BA3" w:rsidRDefault="005D7BA3" w:rsidP="005D7BA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5D7BA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 доступности и качества медицинской помощи</w:t>
            </w:r>
          </w:p>
          <w:tbl>
            <w:tblPr>
              <w:tblW w:w="13785" w:type="dxa"/>
              <w:tblBorders>
                <w:top w:val="single" w:sz="6" w:space="0" w:color="98B9DB"/>
                <w:left w:val="single" w:sz="6" w:space="0" w:color="98B9DB"/>
                <w:bottom w:val="single" w:sz="6" w:space="0" w:color="98B9DB"/>
                <w:right w:val="single" w:sz="6" w:space="0" w:color="98B9D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7581"/>
              <w:gridCol w:w="2771"/>
              <w:gridCol w:w="2771"/>
            </w:tblGrid>
            <w:tr w:rsidR="005D7BA3" w:rsidRPr="005D7BA3" w:rsidTr="005D7BA3">
              <w:trPr>
                <w:trHeight w:val="210"/>
              </w:trPr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CCCCCC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CCCCCC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CCCCCC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CCCCCC"/>
                  <w:noWrap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Показатели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Материнская смертность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случаев на 100 тыс. живорожденных детей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0,00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Перинатальная смертность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На 1000 родившихся живыми и мертвыми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2,12%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Время ожидания медицинской </w:t>
                  </w:r>
                  <w:r w:rsidRPr="005D7BA3">
                    <w:rPr>
                      <w:rFonts w:ascii="inherit" w:eastAsia="Times New Roman" w:hAnsi="inherit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помощи на амбулаторном этапе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часы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30-40 мин.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Время ожидания плановой госпитализации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дни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2-5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Работа койки дней в году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305,0</w:t>
                  </w:r>
                </w:p>
              </w:tc>
            </w:tr>
            <w:tr w:rsidR="005D7BA3" w:rsidRPr="005D7BA3" w:rsidTr="005D7BA3">
              <w:tc>
                <w:tcPr>
                  <w:tcW w:w="570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shd w:val="clear" w:color="auto" w:fill="FFFFFF"/>
                  <w:vAlign w:val="center"/>
                  <w:hideMark/>
                </w:tcPr>
                <w:p w:rsidR="005D7BA3" w:rsidRPr="005D7BA3" w:rsidRDefault="005D7BA3" w:rsidP="005D7BA3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652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  Сроки пребывания пациента на койке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vAlign w:val="center"/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дней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98B9DB"/>
                    <w:left w:val="single" w:sz="6" w:space="0" w:color="98B9DB"/>
                    <w:bottom w:val="single" w:sz="6" w:space="0" w:color="98B9DB"/>
                    <w:right w:val="single" w:sz="6" w:space="0" w:color="98B9DB"/>
                  </w:tcBorders>
                  <w:hideMark/>
                </w:tcPr>
                <w:p w:rsidR="005D7BA3" w:rsidRPr="005D7BA3" w:rsidRDefault="005D7BA3" w:rsidP="005D7BA3">
                  <w:pPr>
                    <w:spacing w:after="192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</w:pPr>
                  <w:r w:rsidRPr="005D7BA3">
                    <w:rPr>
                      <w:rFonts w:ascii="inherit" w:eastAsia="Times New Roman" w:hAnsi="inherit" w:cs="Times New Roman"/>
                      <w:sz w:val="19"/>
                      <w:szCs w:val="19"/>
                      <w:lang w:eastAsia="ru-RU"/>
                    </w:rPr>
                    <w:t>6,7</w:t>
                  </w:r>
                </w:p>
              </w:tc>
            </w:tr>
          </w:tbl>
          <w:p w:rsidR="005D7BA3" w:rsidRPr="005D7BA3" w:rsidRDefault="005D7BA3" w:rsidP="005D7BA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</w:tr>
    </w:tbl>
    <w:p w:rsidR="005D7BA3" w:rsidRPr="005D7BA3" w:rsidRDefault="005D7BA3" w:rsidP="005D7BA3">
      <w:pPr>
        <w:shd w:val="clear" w:color="auto" w:fill="C0BECA"/>
        <w:spacing w:after="100" w:line="240" w:lineRule="auto"/>
        <w:textAlignment w:val="baseline"/>
        <w:rPr>
          <w:rFonts w:ascii="inherit" w:eastAsia="Times New Roman" w:hAnsi="inherit" w:cs="Arial"/>
          <w:color w:val="414748"/>
          <w:sz w:val="19"/>
          <w:szCs w:val="19"/>
          <w:lang w:eastAsia="ru-RU"/>
        </w:rPr>
      </w:pPr>
      <w:r w:rsidRPr="005D7BA3">
        <w:rPr>
          <w:rFonts w:ascii="inherit" w:eastAsia="Times New Roman" w:hAnsi="inherit" w:cs="Arial"/>
          <w:color w:val="414748"/>
          <w:sz w:val="19"/>
          <w:szCs w:val="19"/>
          <w:lang w:eastAsia="ru-RU"/>
        </w:rPr>
        <w:lastRenderedPageBreak/>
        <w:t> </w:t>
      </w:r>
    </w:p>
    <w:p w:rsidR="00087BED" w:rsidRDefault="00087BED">
      <w:bookmarkStart w:id="0" w:name="_GoBack"/>
      <w:bookmarkEnd w:id="0"/>
    </w:p>
    <w:sectPr w:rsidR="00087BED" w:rsidSect="005D7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56BF"/>
    <w:multiLevelType w:val="multilevel"/>
    <w:tmpl w:val="589C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3"/>
    <w:rsid w:val="00087BED"/>
    <w:rsid w:val="005D7BA3"/>
    <w:rsid w:val="00A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0B17-8545-434E-974A-B75AACD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8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2019-10-13T20:09:00Z</dcterms:created>
  <dcterms:modified xsi:type="dcterms:W3CDTF">2019-10-13T20:09:00Z</dcterms:modified>
</cp:coreProperties>
</file>