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1. Оказание первичной, в том числе доврачебной, врачебной и специализированной, медико-санитарной помощи детям в возрасте до 18 лет: в амбулаторных и стационарных условиях, а также в условиях дневного стационара.</w:t>
      </w:r>
    </w:p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2. Оказание специализированной, в том числе высокотехнологичной медицинской помощи.</w:t>
      </w:r>
    </w:p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3. Амбулаторно-поликлиническая медицинская помощь, в том числе при осуществлении первичной медико-санитарной помощи и специализированной медицинской помощи: по терапии, кардиологии, офтальмологии, гастроэнтерологии, оториноларингологии, хирургии, травматологии и ортопедии, аллергологии и иммунологии, эндокринологии детской, гинекологии, лечебная физкультура и спортивная медицина, стоматологии профилактической, мануальной терапии, косметологии, при инфекционных заболеваниях, дерматовенерологии, нефрологии, неотложная медицинская помощь.</w:t>
      </w:r>
    </w:p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4. Оказание медицинской помощи и медицинское освидетельствование детей в возрасте до 18 лет, оставшихся без попечения родителей.</w:t>
      </w:r>
    </w:p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5. Реанимационная помощь детям в возрасте до 18 лет соматического и инфекционного профиля.</w:t>
      </w:r>
    </w:p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6. Оказание педиатрической помощи, помощи по инфекционным болезням детям в возрасте в условиях поликлиники и стационара</w:t>
      </w:r>
    </w:p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7. Оказание неврологической помощи детям в возрасте до 18 лет в условиях поликлиники и стационара</w:t>
      </w:r>
    </w:p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8. Проведение медицинских осмотров, медицинских освидетельствований и медицинских экспертиз</w:t>
      </w:r>
    </w:p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9. Диетология, лабораторная диагностика, медицинская статистика, медицинский массаж, лечебная физкультура и спортивная медицина, сестринское дело, сестринское дело в педиатрии, организации сестринского дела</w:t>
      </w:r>
    </w:p>
    <w:p w:rsidR="002048E9" w:rsidRDefault="002048E9" w:rsidP="002048E9">
      <w:pPr>
        <w:pStyle w:val="a3"/>
        <w:shd w:val="clear" w:color="auto" w:fill="FFFFFF"/>
        <w:spacing w:before="0" w:beforeAutospacing="0" w:after="372" w:afterAutospacing="0"/>
        <w:textAlignment w:val="baseline"/>
        <w:rPr>
          <w:rFonts w:ascii="Lato" w:hAnsi="Lato"/>
          <w:color w:val="646464"/>
        </w:rPr>
      </w:pPr>
      <w:r>
        <w:rPr>
          <w:rFonts w:ascii="Lato" w:hAnsi="Lato"/>
          <w:color w:val="646464"/>
        </w:rPr>
        <w:t>10. Оказание платной амбулаторной и стационарной медицинской помощи населению в соответствии лицензией, выданной Министерством здравоохранения Ставропольского края.</w:t>
      </w:r>
    </w:p>
    <w:p w:rsidR="00446ACB" w:rsidRDefault="00446ACB">
      <w:bookmarkStart w:id="0" w:name="_GoBack"/>
      <w:bookmarkEnd w:id="0"/>
    </w:p>
    <w:sectPr w:rsidR="0044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08"/>
    <w:rsid w:val="001D0208"/>
    <w:rsid w:val="002048E9"/>
    <w:rsid w:val="004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CB41-E34F-4AC7-8719-420E25AF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2019-10-16T12:54:00Z</dcterms:created>
  <dcterms:modified xsi:type="dcterms:W3CDTF">2019-10-16T12:54:00Z</dcterms:modified>
</cp:coreProperties>
</file>