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3A" w:rsidRDefault="009E5369">
      <w:r>
        <w:rPr>
          <w:rFonts w:ascii="Aglet" w:hAnsi="Aglet"/>
          <w:b/>
          <w:bCs/>
          <w:color w:val="333333"/>
          <w:sz w:val="25"/>
          <w:szCs w:val="25"/>
          <w:shd w:val="clear" w:color="auto" w:fill="FFFFFF"/>
        </w:rPr>
        <w:t> ПРАВИЛА ГОСПИТАЛИЗАЦИИ ПАЦИЕНТОВ В ОТДЕЛЕНИЯ ГАУЗ СО ОДКБ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1. Направление на госпитализацию врача-специалиста Областной детской консультативно-диагностической поликлиники или врача ММЦ.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2. Свидетельство о рождении (паспорт) - ОРИГИНАЛ, страховой полис ребенка (пациента) – ОРИГИНАЛ и ксерокопия, СНИЛС - ОРИГИНАЛ и ксерокопия.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3. Паспорт родителя (оригинал и ксерокопия).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4. Подробная выписка из истории развития ребенка (пациента) от педиатра, амбулаторная карта.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5. Заключения специалиста диспансерного наблюдения (педиатра, кардиолога, невропатолога, стоматолога, ЛОР-врача и др.) о возможности оперативного лечения под общей анестезией (если состоит на учете), действительны в течение 1 мес.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6. Выписка из историй болезни о предыдущем лечении (если имеются с рентгенограммами), заключения дополнительных исследований (УЗИ, КТ, МРТ и т.д.).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7. Сведения (выписка) о перенесенных инфекционных заболеваниях, профилактических прививках и реакциях (Манту, БЦЖ в том числе) либо копия прививочного сертификата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8. Справка об отсутствии контактов с инфекционными больными по месту жительства и из детского учреждения (ясли, сад, школа, среднее профессиональное учебное заведение, ВУЗ и прочие учебные заведения) за последний 21 день, действительна в течение 3-х суток. (СанПиН 2.1.3.2630-10 «Санитарно-эпидемиологические требования к организациям, осуществляющим медицинскую деятельность», раздел 1, пункт 9, 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п.п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>. 9.4).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9. Флюорография грудной клетки для пациента старше 14 лет, действительна в течение одного года. (СанПиН 2.1.3.2630-10 «Санитарно-эпидемиологические требования к организациям, осуществляющим медицинскую деятельность», раздел 1, пункт 9, 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п.п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>. 9.4; СП 3.1.2.3114-13 «Профилактика туберкулеза»).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10. ОАК (лейкоцитарная формула, тромбоциты, свертываемость крови, длительность кровотечения)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11. ОАМ – годность 7 суток.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12. ЭКГ – годность 1 месяц.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13. Анализ крови на гепатит В (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HbsAg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) в случае оперативного лечения, перед проведением химиотерапии, пациенты отделения гематологии, действителен 45 дней. (СанПиН 2.1.3.2630-10 «Санитарно-эпидемиологические требования к организациям, </w:t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lastRenderedPageBreak/>
        <w:t xml:space="preserve">осуществляющим медицинскую деятельность», раздел 1, пункт 9, 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п.п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>. 9.4; СП 3.1.1.2341-08 «Профилактика вирусного гепатита В»).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14. Анализ крови на гепатит С (анти-HCV 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IgG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) в случае оперативного лечения, перед проведением 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химиотерапии,пациенты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 отделения гематологии, действителен 30 дней. (СанПиН 2.1.3.2630-10 «Санитарно-эпидемиологические требования к организациям, осуществляющим медицинскую деятельность», раздел 1, пункт 9, 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п.п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>. 9.4; СП 3.1.1.3112-13 «Профилактика вирусного гепатита С»).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15. Анализ крови на ВИЧ-инфекцию в случае оперативного лечения, действителен в течение 3 мес. (обследование проводится на основании добровольного согласия). (СП 3.1.5.2826-10 «Профилактика ВИЧ-инфекции»).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16. Анализ крови на сифилис для пациентов с 14 лет (в случае оперативного лечения обязательно для пациентов всех возрастов), действителен в течение 30 дней. (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СанПин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 2.1.3.2630-10 "Санитарно-эпидемиологические требования к организациям, осуществляющим медицинскую деятельность", раздел 1, пункт 9, 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п.п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. 9.4; Приказ МЗ Свердловской области от 13.06.2012г. "О 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скрининговом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 серологическом обследовании на сифилис населения Свердловской области").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17. Анализ кала на паразитарные инфекции (энтеробиоз и 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гименолепидоз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>) обязательно для пациентов всех возрастов, результаты действительны 14 дней. (СанПиН 3.2.3215-14 «Профилактика паразитарных болезней на территории РФ» раздел 11, пункт 11.2.2; СП 3.2.3110-13 «Профилактика энтеробиоза» раздел 4 пункт 4.3.2).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18. Анализ кала на кишечную группу для пациентов до 2-х лет, результаты действительны 14 дней. (СанПиН 2.1.3.2630-10 «Санитарно-эпидемиологические требования к организациям, осуществляющим медицинскую деятельность», раздел 1, пункт 9, 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п.п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>. 9.4; СП 3.1.7.2616-10 «Профилактика сальмонеллеза» раздел 9, пункт 9.4.2).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>                       </w:t>
      </w:r>
      <w:r>
        <w:rPr>
          <w:rFonts w:ascii="Aglet" w:hAnsi="Aglet"/>
          <w:b/>
          <w:bCs/>
          <w:color w:val="333333"/>
          <w:sz w:val="25"/>
          <w:szCs w:val="25"/>
          <w:shd w:val="clear" w:color="auto" w:fill="FFFFFF"/>
        </w:rPr>
        <w:t>Для родителей и лиц, госпитализируемых совместно с ребенком (пациентом):</w:t>
      </w:r>
      <w:r>
        <w:rPr>
          <w:rFonts w:ascii="Aglet" w:hAnsi="Aglet"/>
          <w:b/>
          <w:bCs/>
          <w:color w:val="333333"/>
          <w:sz w:val="25"/>
          <w:szCs w:val="25"/>
          <w:shd w:val="clear" w:color="auto" w:fill="FFFFFF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1. Анализ кала на кишечную группу, действителен в течение 14 дней. (СанПиН 2.1.3.2630-10 «Санитарно-эпидемиологические требования к организациям, осуществляющим медицинскую деятельность», раздел 1, пункт 9, 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п.п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>. 9.4; СП 3.1.7.2616-10 «Профилактика сальмонеллеза» раздел 9, пункт 9.4.2).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2. Заключение фтизиатра, флюорография грудной клетки, действительна в течение одного года. (СанПиН 2.1.3.2630-10 «Санитарно-эпидемиологические требования к организациям, осуществляющим медицинскую деятельность», раздел 1, пункт 9, 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п.п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>. 9.4; СП 3.1.2.3114-13 «Профилактика туберкулеза»).</w:t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</w:rPr>
        <w:br/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3. Анализ крови на сифилис (RW), действителен в течение 30 дней. (Приказ МЗ </w:t>
      </w:r>
      <w:r>
        <w:rPr>
          <w:rFonts w:ascii="Aglet" w:hAnsi="Aglet"/>
          <w:color w:val="333333"/>
          <w:sz w:val="25"/>
          <w:szCs w:val="25"/>
          <w:shd w:val="clear" w:color="auto" w:fill="FFFFFF"/>
        </w:rPr>
        <w:lastRenderedPageBreak/>
        <w:t xml:space="preserve">Свердловской области от 13.06.2012г. «О </w:t>
      </w:r>
      <w:proofErr w:type="spellStart"/>
      <w:r>
        <w:rPr>
          <w:rFonts w:ascii="Aglet" w:hAnsi="Aglet"/>
          <w:color w:val="333333"/>
          <w:sz w:val="25"/>
          <w:szCs w:val="25"/>
          <w:shd w:val="clear" w:color="auto" w:fill="FFFFFF"/>
        </w:rPr>
        <w:t>скрининговом</w:t>
      </w:r>
      <w:proofErr w:type="spellEnd"/>
      <w:r>
        <w:rPr>
          <w:rFonts w:ascii="Aglet" w:hAnsi="Aglet"/>
          <w:color w:val="333333"/>
          <w:sz w:val="25"/>
          <w:szCs w:val="25"/>
          <w:shd w:val="clear" w:color="auto" w:fill="FFFFFF"/>
        </w:rPr>
        <w:t xml:space="preserve"> серологическом обследовании на сифилис населения в Свердловской области»).</w:t>
      </w:r>
      <w:bookmarkStart w:id="0" w:name="_GoBack"/>
      <w:bookmarkEnd w:id="0"/>
    </w:p>
    <w:sectPr w:rsidR="00C4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l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97"/>
    <w:rsid w:val="009E5369"/>
    <w:rsid w:val="00AF3497"/>
    <w:rsid w:val="00C4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7349-2D89-40B3-862F-E9C02F10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2019-09-05T09:52:00Z</dcterms:created>
  <dcterms:modified xsi:type="dcterms:W3CDTF">2019-09-05T09:52:00Z</dcterms:modified>
</cp:coreProperties>
</file>