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6DDC9" w14:textId="77777777" w:rsidR="00450CD5" w:rsidRPr="00450CD5" w:rsidRDefault="00450CD5" w:rsidP="00450CD5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3788D9"/>
          <w:kern w:val="36"/>
          <w:sz w:val="36"/>
          <w:szCs w:val="36"/>
          <w:lang w:eastAsia="ru-RU"/>
        </w:rPr>
      </w:pPr>
      <w:r w:rsidRPr="00450CD5">
        <w:rPr>
          <w:rFonts w:ascii="Trebuchet MS" w:eastAsia="Times New Roman" w:hAnsi="Trebuchet MS" w:cs="Times New Roman"/>
          <w:b/>
          <w:bCs/>
          <w:color w:val="3788D9"/>
          <w:kern w:val="36"/>
          <w:sz w:val="36"/>
          <w:szCs w:val="36"/>
          <w:lang w:eastAsia="ru-RU"/>
        </w:rPr>
        <w:t>Диагностические исследования</w:t>
      </w:r>
    </w:p>
    <w:p w14:paraId="250751AC" w14:textId="77777777" w:rsidR="00450CD5" w:rsidRPr="00450CD5" w:rsidRDefault="00450CD5" w:rsidP="00450CD5">
      <w:pPr>
        <w:shd w:val="clear" w:color="auto" w:fill="FFFFFF"/>
        <w:spacing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450CD5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Диагностические исследования проводятся после назначения лечащего врача.</w:t>
      </w:r>
      <w:r w:rsidRPr="00450CD5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br/>
        <w:t>Объём проводимых  диагностических исследований соответствует стандартам оказания медицинской помощи при психических расстройствах. К ним относятся: общеклинические исследования крови и мочи, биохимические анализы крови, бактериологические исследования кала, такие аппаратные методы исследования как электроэнцефалография, электрокардиография, консультации специалистов (невролога, терапевта, офтальмолога), психодиагностические исследования и другие исследования, в том числе проводимые по определённым показаниям.</w:t>
      </w:r>
    </w:p>
    <w:p w14:paraId="7E53016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78"/>
    <w:rsid w:val="00450CD5"/>
    <w:rsid w:val="0068467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56A60-48BF-417D-A3BA-E346ACB0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9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2019-08-12T04:12:00Z</dcterms:created>
  <dcterms:modified xsi:type="dcterms:W3CDTF">2019-08-12T04:12:00Z</dcterms:modified>
</cp:coreProperties>
</file>