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7D" w:rsidRPr="0035357D" w:rsidRDefault="0035357D" w:rsidP="0035357D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33"/>
          <w:szCs w:val="33"/>
          <w:lang w:eastAsia="ru-RU"/>
        </w:rPr>
      </w:pPr>
      <w:r w:rsidRPr="0035357D">
        <w:rPr>
          <w:rFonts w:ascii="Verdana" w:eastAsia="Times New Roman" w:hAnsi="Verdana" w:cs="Tahoma"/>
          <w:b/>
          <w:bCs/>
          <w:color w:val="000000"/>
          <w:kern w:val="36"/>
          <w:sz w:val="33"/>
          <w:szCs w:val="33"/>
          <w:lang w:eastAsia="ru-RU"/>
        </w:rPr>
        <w:t>Лабораторная диагностика микозов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Hlk523143048"/>
      <w:bookmarkEnd w:id="0"/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Лабораторная диагностика микозов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Микозы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– инфекции, вызываемые микроскопическими грибами, подразделяют на глубокие, подкожные и поверхностные. Первые два типа встречаются относительно редко, в то время как поверхностные микозы широко распространены и могут проявиться у любого человека, независимо от возраста.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настоящее время список потенциальных возбудителей микозов включает уже более 500 видов грибов. Микроскопические грибы (микромицеты) значительно отличаются от других возбудителей инфекций, что влечет за собой особые подходы к диагностике и лечению грибковых инфекций.</w:t>
      </w:r>
      <w:r w:rsidRPr="003535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диагностики микозов используют данные клинической картины, микроскопического и культурального исследования (посева на грибы).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Культуральная диагностика микозов </w:t>
      </w:r>
      <w:r w:rsidRPr="003535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основана на выделении возбудителя из исследуемого материала. Сроки культивирования различны для разных видов грибов (от 2-4 дней до 4 недель). Для получения адекватного результата необходимо исключить применение противогрибковых препаратов, местных антисептиков не менее чем за 7-10 дней. Использование косметических средств может исказить результаты исследования, в связи с чем рекомендовано воздержаться от их применения за 2 суток до сдачи биоматериала.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Фарингомикоз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Микотическое поражение слизистой оболочки зева и ротовой полости – фарингомикоз – чаще всего вызывают грибы рода 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Candida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в частности, 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Candida albicans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При фарингомикозе отмечают присутствие творожистого белого налета на слизистой оболочке полости рта, </w:t>
      </w:r>
      <w:r w:rsidRPr="0035357D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часто -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ощущение першения или жжения, неприятный запах, иногда - </w:t>
      </w:r>
      <w:r w:rsidRPr="0035357D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поверхностные изъязвления, эрозии,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боль.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35357D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71800" cy="1657350"/>
            <wp:effectExtent l="0" t="0" r="0" b="0"/>
            <wp:docPr id="10" name="Рисунок 10" descr="http://kznkniiem.ru/image/downloads/i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nkniiem.ru/image/downloads/i7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Кандидоз полости рта, обусловленный 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C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. А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lbicans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35357D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48100" cy="2190750"/>
            <wp:effectExtent l="0" t="0" r="0" b="0"/>
            <wp:docPr id="9" name="Рисунок 9" descr="http://kznkniiem.ru/image/downloads/i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znkniiem.ru/image/downloads/i7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Ростовая трубка 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C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 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albicans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Отомикоз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Отомикоз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 - грибковая инфекция уха, которая может поражать структуры наружного и среднего уха. Отомикоз не имеет специфичных симптомов. Он может проявляться зудом, болью, шумом и заложенностью в ухе, снижением слуха по типу кондуктивной тугоухости, 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истечением выделений из наружного слухового прохода. Возбудителями отомикозов, чаще всего, являются грибы рода</w:t>
      </w:r>
      <w:r w:rsidRPr="0035357D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Aspergillus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35357D"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7500" cy="1962150"/>
            <wp:effectExtent l="0" t="0" r="0" b="0"/>
            <wp:docPr id="8" name="Рисунок 8" descr="http://kznkniiem.ru/image/downloads/i7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znkniiem.ru/image/downloads/i70_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Aspergillus fumigatus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2133600"/>
            <wp:effectExtent l="0" t="0" r="0" b="0"/>
            <wp:docPr id="7" name="Рисунок 7" descr="http://kznkniiem.ru/image/downloads/i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nkniiem.ru/image/downloads/i70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Колония 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Aspergillus fumigatus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Вагинальный кандидоз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Вагинальный кандидоз 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– микоз слизистой оболочки влагалища, возникающий при ее колонизации штаммами дрожжеподобных грибов </w:t>
      </w:r>
      <w:r w:rsidRPr="0035357D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Candida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 В острой стадии отмечаются покраснение, отек и зуд вульвы; болезненность, жжение и зуд во влагалище; обильные, творожистого вида выделения из половых путей; в хронической - сухость и атрофия слизистой оболочки, экскориации, выраженная лихенизация.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Микозы кожи и ее придатков.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Микозы кожи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(дерматомикозы) – группа заболеваний, в основе которых лежит инфицирование кожи, ногтей, волос вызываемое болезнетворными грибками. Общими проявлениями служат шелушение, мокнутие, воспалительные явления кожи, наслоение чешуек, сильный зуд, утолщение и изменение структуры кожи, ногтей, волос. При расчесах – присоединение вторичной инфекции и нагноение.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 </w:t>
      </w:r>
      <w:r w:rsidRPr="0035357D"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http://kznkniiem.ru/image/downloads/i7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nkniiem.ru/image/downloads/i70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Микоз гладкой кожи. Микроспория.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noProof/>
          <w:color w:val="303030"/>
          <w:sz w:val="21"/>
          <w:szCs w:val="21"/>
          <w:lang w:eastAsia="ru-RU"/>
        </w:rPr>
        <w:drawing>
          <wp:inline distT="0" distB="0" distL="0" distR="0">
            <wp:extent cx="4591050" cy="2781300"/>
            <wp:effectExtent l="0" t="0" r="0" b="0"/>
            <wp:docPr id="5" name="Рисунок 5" descr="http://kznkniiem.ru/image/downloads/i7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znkniiem.ru/image/downloads/i70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i/>
          <w:iCs/>
          <w:color w:val="303030"/>
          <w:sz w:val="21"/>
          <w:szCs w:val="21"/>
          <w:lang w:eastAsia="ru-RU"/>
        </w:rPr>
        <w:t> Microsporum canis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35357D">
        <w:rPr>
          <w:rFonts w:ascii="Tahoma" w:eastAsia="Times New Roman" w:hAnsi="Tahoma" w:cs="Tahoma"/>
          <w:i/>
          <w:iCs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286500" cy="2162175"/>
            <wp:effectExtent l="0" t="0" r="0" b="9525"/>
            <wp:docPr id="4" name="Рисунок 4" descr="http://kznkniiem.ru/image/downloads/i7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nkniiem.ru/image/downloads/i70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Микоз стоп.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 </w:t>
      </w:r>
      <w:r w:rsidRPr="0035357D"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715000" cy="2562225"/>
            <wp:effectExtent l="0" t="0" r="0" b="9525"/>
            <wp:docPr id="3" name="Рисунок 3" descr="http://kznkniiem.ru/image/downloads/i7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znkniiem.ru/image/downloads/i70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Трихофития волосистой части головы.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91200" cy="2105025"/>
            <wp:effectExtent l="0" t="0" r="0" b="9525"/>
            <wp:docPr id="2" name="Рисунок 2" descr="http://kznkniiem.ru/image/downloads/i7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znkniiem.ru/image/downloads/i70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Кандидоз кожи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Онихомикозы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Онихомикоз </w:t>
      </w: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– инфицирование ногтей на ногах и руках представителями различных классов патогенной и условно-патогенной грибковой микробиоты. Клиническая картина онихомикоза зависит от причины, вызвавшей микоз. Поражённые грибком ногти меняют цвет и прозрачность, теряют гладкость, утолщаются, становятся ломкими и шероховатыми, расслаиваются, начинают крошиться. При этом подногтевое и околоногтевое пространство может оставаться неизмененным либо краснеть, отекать и поражаться вторичной патогенной флорой.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Причиной онихомикоза является патогенный или условно-патогенный грибок. Развитие онихомикоза провоцируют травмы, в том числе при маникюре и педикюре, плоскостопие, варикоз, гипергидроз, эндокринные и иммунологические нарушения, заболевания крови, патология сосудов, длительный приём гормональных препаратов, антибиотиков и цитостатиков, ношение тесной обуви и отказ от соблюдения общепринятых норм личной гигиены. Заболевание развивается не сразу, ему предшествует поражение кожных покровов подошв и ладоней, и только потом возбудитель внедряется в ноготь.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здоровую кожу возбудитель попадает с заражённых предметов быта или при контакте с инфицированным человеком. Затем грибок распространяется по коже при прикосновениях к загрязненным участкам. Колонизация подногтевого пространства грибком приводит к бессимптомному размножению возбудителя, достижению им критической массы и проникновению из-под свободного края ногтевой пластинки в роговые слои ногтя при любом провоцирующем воздействии (например, при травме ногтя или околоногтевых тканей). Попав в ногтевую пластинку, грибок размножается, формируя в ткани ногтя туннели, ходы и каналы. Степень поражения ногтевой пластинки зависит от химической структуры ногтя и от вирулентности грибка.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 </w:t>
      </w:r>
      <w:r w:rsidRPr="0035357D"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05950" cy="2371725"/>
            <wp:effectExtent l="0" t="0" r="0" b="9525"/>
            <wp:docPr id="1" name="Рисунок 1" descr="http://kznkniiem.ru/image/downloads/i7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znkniiem.ru/image/downloads/i70_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Онихомикоз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left="120"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Грибы в доме человека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left="120"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Грибы-микромицеты широко распространены в окружающей среде, в том числе внутри жилых помещений. Среди микроскопических грибов, обнаруживаемых в помещениях, можно выделить виды, которые могут обладать 1) патогенными, 2) аллергенными, 3) токсическими, 4) биоразрушающими свойствами.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Патогенные и условно-патогенные грибы способны вызывать грибковые заболевания у людей с пониженным, а в ряде случаев и с нормальным иммунитетом. Аллергенные свойства грибов проявляются при вдыхании спор грибов или употреблении в пищу продуктов, содержащих грибковые метаболиты, и выражаются в виде респираторных и, реже, нереспираторных симптомов. Некоторые вещества, выделяемые грибами, обладают токсическим действием и способны угнетать центральную нервную, а также дыхательную систему.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Биоразрушающее действие грибов, обусловленное их способностью усваивать различные субстраты, в том числе дерево, бетон, полимерные материалы, может представлять серьезную опасность для строительных конструкций, а сами грибы-биодеструкторы – проявлять патогенные, аллергенные и токсические свойства.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Повышенное содержание грибов в помещении может приводить к развитию так называемого «синдрома больного здания», выражающегося в общем ухудшении самочувствия, проявлении различных (острых и хронических) заболеваний, повышении утомляемости, снижении работоспособности и т.д., что особенно неблагоприятно отражается на детях и лицах пожилого возраста. Микологическое обследование помещений позволяет выявить причины, и </w:t>
      </w:r>
      <w:r w:rsidRPr="003535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принять адекватные меры 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их устранению, что позволяет существенно улучшить состояние здания, устранить </w:t>
      </w:r>
      <w:r w:rsidRPr="003535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негативное влияние грибов на организм человека.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5357D" w:rsidRPr="0035357D" w:rsidRDefault="0035357D" w:rsidP="0035357D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Грибы как причина аллергических заболеваний</w:t>
      </w:r>
    </w:p>
    <w:p w:rsidR="0035357D" w:rsidRPr="0035357D" w:rsidRDefault="0035357D" w:rsidP="0035357D">
      <w:pPr>
        <w:shd w:val="clear" w:color="auto" w:fill="FFFFFF"/>
        <w:spacing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Грибы обладают выраженными аллергенными свойствами. Наиболее часто встречается сенсибилизация к плесневым грибам, проявляющаяся различными респираторными симптомами (кашель, насморк, бронхиальная астма и т.п.) при вдыхании спор грибов. Нереспираторные проявления микогенной аллергии встречаются реже, хотя некоторые виды грибов, поражающие плодоовощную продукцию и зерновые (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Phoma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, 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Fuzarium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, </w:t>
      </w:r>
      <w:r w:rsidRPr="0035357D">
        <w:rPr>
          <w:rFonts w:ascii="Tahoma" w:eastAsia="Times New Roman" w:hAnsi="Tahoma" w:cs="Tahoma"/>
          <w:i/>
          <w:iCs/>
          <w:color w:val="333333"/>
          <w:sz w:val="21"/>
          <w:szCs w:val="21"/>
          <w:lang w:val="en-US" w:eastAsia="ru-RU"/>
        </w:rPr>
        <w:t>Penicillium expansum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,) вносят значительный вклад в общее число аллергии к грибам. Сенсибилизация в таком случае происходит при употреблении в пищу продукции, зараженной грибами (ягод, фруктов, овощей, а также продуктов их переработки). Аллергенные компоненты грибов способны проникать в непораженные части плода без изменения их вкуса и часто сохраняются при кулинарной обработке. Гниль яблок и цитрусовых, темные пятна на свекле и моркови, поражения картофеля и томатов – с такими продуктами людям, склонным к аллергии, нужно быть осторожными. Хлеб, мука, крупы могут сохранять виды грибов, присутствовавших на вегетативных частях растений (фузарии, </w:t>
      </w: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нейроспора, фитопатогены). Молоко, кефир, творог обычно содержат дрожжеподобные грибы, а пиво, вино, сыры – продукты их жизнедеятельности.</w:t>
      </w:r>
    </w:p>
    <w:p w:rsidR="0035357D" w:rsidRPr="0035357D" w:rsidRDefault="0035357D" w:rsidP="003535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5357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007E6" w:rsidRDefault="00C007E6">
      <w:bookmarkStart w:id="1" w:name="_GoBack"/>
      <w:bookmarkEnd w:id="1"/>
    </w:p>
    <w:sectPr w:rsidR="00C0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8"/>
    <w:rsid w:val="00033918"/>
    <w:rsid w:val="0035357D"/>
    <w:rsid w:val="00C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46EC-F826-49EF-9100-CDEAEC3E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357D"/>
    <w:rPr>
      <w:b/>
      <w:bCs/>
    </w:rPr>
  </w:style>
  <w:style w:type="character" w:styleId="a4">
    <w:name w:val="Emphasis"/>
    <w:basedOn w:val="a0"/>
    <w:uiPriority w:val="20"/>
    <w:qFormat/>
    <w:rsid w:val="0035357D"/>
    <w:rPr>
      <w:i/>
      <w:iCs/>
    </w:rPr>
  </w:style>
  <w:style w:type="paragraph" w:styleId="a5">
    <w:name w:val="Normal (Web)"/>
    <w:basedOn w:val="a"/>
    <w:uiPriority w:val="99"/>
    <w:semiHidden/>
    <w:unhideWhenUsed/>
    <w:rsid w:val="0035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5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2019-11-11T15:37:00Z</dcterms:created>
  <dcterms:modified xsi:type="dcterms:W3CDTF">2019-11-11T15:37:00Z</dcterms:modified>
</cp:coreProperties>
</file>