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72" w:rsidRDefault="00B46D72" w:rsidP="00B46D72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b/>
          <w:bCs/>
          <w:color w:val="0066FF"/>
          <w:sz w:val="30"/>
          <w:szCs w:val="30"/>
        </w:rPr>
        <w:t>Бесплатные услуги</w:t>
      </w:r>
      <w:r>
        <w:rPr>
          <w:rStyle w:val="eop"/>
          <w:rFonts w:ascii="Calibri" w:hAnsi="Calibri" w:cs="Calibri"/>
          <w:color w:val="0066FF"/>
          <w:sz w:val="30"/>
          <w:szCs w:val="30"/>
        </w:rPr>
        <w:t> </w:t>
      </w:r>
    </w:p>
    <w:p w:rsidR="00B46D72" w:rsidRDefault="00B46D72" w:rsidP="00B46D72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egoe UI" w:hAnsi="Segoe UI" w:cs="Segoe UI"/>
          <w:color w:val="3B3B3B"/>
          <w:sz w:val="12"/>
          <w:szCs w:val="12"/>
        </w:rPr>
      </w:pPr>
      <w:r>
        <w:rPr>
          <w:rFonts w:ascii="Verdana" w:hAnsi="Verdana" w:cs="Segoe UI"/>
          <w:color w:val="3B3B3B"/>
          <w:sz w:val="21"/>
          <w:szCs w:val="21"/>
        </w:rPr>
        <w:t>В диспансере проводится комплексное обследование и лечение туберкулёза всех локализаций в рамках программы</w:t>
      </w:r>
      <w:r>
        <w:rPr>
          <w:rStyle w:val="a4"/>
          <w:rFonts w:ascii="Arial" w:hAnsi="Arial" w:cs="Arial"/>
          <w:color w:val="3B3B3B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009DCE"/>
            <w:sz w:val="21"/>
            <w:szCs w:val="21"/>
          </w:rPr>
          <w:t>государственных гарантий</w:t>
        </w:r>
      </w:hyperlink>
      <w:hyperlink r:id="rId6" w:history="1">
        <w:r>
          <w:rPr>
            <w:rStyle w:val="a5"/>
            <w:rFonts w:ascii="Arial" w:hAnsi="Arial" w:cs="Arial"/>
            <w:color w:val="009DCE"/>
            <w:sz w:val="21"/>
            <w:szCs w:val="21"/>
          </w:rPr>
          <w:t> </w:t>
        </w:r>
      </w:hyperlink>
      <w:hyperlink r:id="rId7" w:history="1">
        <w:r>
          <w:rPr>
            <w:rStyle w:val="textrun"/>
            <w:rFonts w:ascii="Arial" w:hAnsi="Arial" w:cs="Arial"/>
            <w:sz w:val="21"/>
            <w:szCs w:val="21"/>
          </w:rPr>
          <w:t>бесплатного оказания гражданам медицинской помощи:</w:t>
        </w:r>
        <w:r>
          <w:rPr>
            <w:rStyle w:val="eop"/>
            <w:rFonts w:ascii="Arial" w:hAnsi="Arial" w:cs="Arial"/>
            <w:sz w:val="21"/>
            <w:szCs w:val="21"/>
          </w:rPr>
          <w:t> </w:t>
        </w:r>
      </w:hyperlink>
    </w:p>
    <w:p w:rsidR="00B46D72" w:rsidRDefault="00B46D72" w:rsidP="00B46D72">
      <w:pPr>
        <w:pStyle w:val="paragraph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tLeast"/>
        <w:ind w:left="465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туберкулёза органов дыхания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tLeast"/>
        <w:ind w:left="465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туберкулёза мочеполовых органов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tLeast"/>
        <w:ind w:left="465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туберкулёза центральной нервной системы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tLeast"/>
        <w:ind w:left="465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туберкулёза глаз и других органов, с применением самых современных рентгенологических и лабораторных методов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ind w:left="465"/>
        <w:jc w:val="both"/>
        <w:rPr>
          <w:rFonts w:ascii="Segoe UI" w:hAnsi="Segoe UI" w:cs="Segoe UI"/>
          <w:sz w:val="12"/>
          <w:szCs w:val="12"/>
        </w:rPr>
      </w:pPr>
      <w:r>
        <w:rPr>
          <w:rStyle w:val="scx197486178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2"/>
          <w:szCs w:val="12"/>
        </w:rPr>
        <w:br/>
      </w:r>
      <w:r>
        <w:rPr>
          <w:rStyle w:val="textrun"/>
          <w:rFonts w:ascii="Arial" w:hAnsi="Arial" w:cs="Arial"/>
          <w:sz w:val="21"/>
          <w:szCs w:val="21"/>
        </w:rPr>
        <w:t>В диспансерных отделениях проводятся: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tLeast"/>
        <w:ind w:left="465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консультации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tLeast"/>
        <w:ind w:left="465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диспансерное наблюдение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tLeast"/>
        <w:ind w:left="465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амбулаторное лечение больных туберкулёзом.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В стационарных отделениях больные могут получить медицинскую помощь в условиях стационара круглосуточного и дневного пребывания.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В хирургических отделениях диспансера оказываются все виды оперативного лечения туберкулеза легких. 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Arial" w:hAnsi="Arial" w:cs="Arial"/>
          <w:sz w:val="21"/>
          <w:szCs w:val="21"/>
        </w:rPr>
        <w:t>В отделении для больных внелегочным туберкулезом проводится терапевтическое лечение внелегочных форм туберкулеза.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 </w:t>
      </w:r>
    </w:p>
    <w:p w:rsidR="00B46D72" w:rsidRDefault="00B46D72" w:rsidP="00B46D72">
      <w:pPr>
        <w:pStyle w:val="paragraph"/>
        <w:shd w:val="clear" w:color="auto" w:fill="FEFEFE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Fonts w:ascii="Verdana" w:hAnsi="Verdana" w:cs="Segoe UI"/>
          <w:sz w:val="21"/>
          <w:szCs w:val="21"/>
        </w:rPr>
        <w:t>Обращаем Ваше внимание, что ГБУЗ «СОКПТД» не оказывает услуги по системе ОМС. </w:t>
      </w:r>
    </w:p>
    <w:p w:rsidR="00D62573" w:rsidRDefault="00D62573">
      <w:bookmarkStart w:id="0" w:name="_GoBack"/>
      <w:bookmarkEnd w:id="0"/>
    </w:p>
    <w:sectPr w:rsidR="00D6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5F2A"/>
    <w:multiLevelType w:val="multilevel"/>
    <w:tmpl w:val="313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AA36BE"/>
    <w:multiLevelType w:val="multilevel"/>
    <w:tmpl w:val="8CB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E"/>
    <w:rsid w:val="005479EE"/>
    <w:rsid w:val="00B46D72"/>
    <w:rsid w:val="00D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F56E-8ED1-495D-9F0E-74CAF88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B46D72"/>
  </w:style>
  <w:style w:type="character" w:customStyle="1" w:styleId="eop">
    <w:name w:val="eop"/>
    <w:basedOn w:val="a0"/>
    <w:rsid w:val="00B46D72"/>
  </w:style>
  <w:style w:type="paragraph" w:styleId="a3">
    <w:name w:val="Normal (Web)"/>
    <w:basedOn w:val="a"/>
    <w:uiPriority w:val="99"/>
    <w:semiHidden/>
    <w:unhideWhenUsed/>
    <w:rsid w:val="00B4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D72"/>
    <w:rPr>
      <w:b/>
      <w:bCs/>
    </w:rPr>
  </w:style>
  <w:style w:type="character" w:styleId="a5">
    <w:name w:val="Hyperlink"/>
    <w:basedOn w:val="a0"/>
    <w:uiPriority w:val="99"/>
    <w:semiHidden/>
    <w:unhideWhenUsed/>
    <w:rsid w:val="00B46D72"/>
    <w:rPr>
      <w:color w:val="0000FF"/>
      <w:u w:val="single"/>
    </w:rPr>
  </w:style>
  <w:style w:type="character" w:customStyle="1" w:styleId="scx197486178">
    <w:name w:val="scx197486178"/>
    <w:basedOn w:val="a0"/>
    <w:rsid w:val="00B4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zdrav.samregion.ru/documents/postanovleniya-resheniya-polozheniya/document52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samregion.ru/documents/postanovleniya-resheniya-polozheniya/document5214.html" TargetMode="External"/><Relationship Id="rId5" Type="http://schemas.openxmlformats.org/officeDocument/2006/relationships/hyperlink" Target="http://minzdrav.samregion.ru/documents/postanovleniya-resheniya-polozheniya/document52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2019-10-28T10:56:00Z</dcterms:created>
  <dcterms:modified xsi:type="dcterms:W3CDTF">2019-10-28T10:56:00Z</dcterms:modified>
</cp:coreProperties>
</file>