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E7" w:rsidRDefault="00216EE7" w:rsidP="00216EE7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Медицинские услуги оказываемые государственным учреждением здравоохранения Ярославской области Пошехонская центральная районная больница на платной основе:</w:t>
      </w:r>
    </w:p>
    <w:p w:rsidR="00216EE7" w:rsidRDefault="00216EE7" w:rsidP="00216EE7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1. Обязательные предварительные при поступлении на работу и периодические медицинские осмотры работников в случаях и порядке, предусмотренных законодательством Российской Федерации</w:t>
      </w:r>
    </w:p>
    <w:p w:rsidR="00216EE7" w:rsidRDefault="00216EE7" w:rsidP="00216EE7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2. Медицинские осмотры: </w:t>
      </w:r>
      <w:r>
        <w:rPr>
          <w:rFonts w:ascii="Arial" w:hAnsi="Arial" w:cs="Arial"/>
          <w:color w:val="6C7476"/>
          <w:sz w:val="23"/>
          <w:szCs w:val="23"/>
        </w:rPr>
        <w:br/>
        <w:t>- водителей автотранспорта, лиц для получения разрешения на право владения оружием (кроме инвалидов и ветеранов Великой Отечественной войны и категорий граждан, определенных федеральными законами «О статусе Героев Советского Союза, Героев Российской Федерации и полных кавалеров ордена Славы», «О предоставлении социальных гарантий Героям Социалистического Труда и полным кавалерам ордена Трудовой Славы»); </w:t>
      </w:r>
      <w:r>
        <w:rPr>
          <w:rFonts w:ascii="Arial" w:hAnsi="Arial" w:cs="Arial"/>
          <w:color w:val="6C7476"/>
          <w:sz w:val="23"/>
          <w:szCs w:val="23"/>
        </w:rPr>
        <w:br/>
        <w:t>- водителей предрейсовые и послерейсовые; </w:t>
      </w:r>
      <w:r>
        <w:rPr>
          <w:rFonts w:ascii="Arial" w:hAnsi="Arial" w:cs="Arial"/>
          <w:color w:val="6C7476"/>
          <w:sz w:val="23"/>
          <w:szCs w:val="23"/>
        </w:rPr>
        <w:br/>
        <w:t>- лиц, обратившихся за справкой для посещения бассейна (кроме детей до 18 лет) и для проживания в общежитии; </w:t>
      </w:r>
      <w:r>
        <w:rPr>
          <w:rFonts w:ascii="Arial" w:hAnsi="Arial" w:cs="Arial"/>
          <w:color w:val="6C7476"/>
          <w:sz w:val="23"/>
          <w:szCs w:val="23"/>
        </w:rPr>
        <w:br/>
        <w:t>- лиц, обратившихся за справкой для поступления в учебное заведение (старше 18 лет, кроме учащихся общеобразовательных школ, а также лиц из числа детей-сирот и детей, оставшихся без попечения родителей до 23 лет); </w:t>
      </w:r>
      <w:r>
        <w:rPr>
          <w:rFonts w:ascii="Arial" w:hAnsi="Arial" w:cs="Arial"/>
          <w:color w:val="6C7476"/>
          <w:sz w:val="23"/>
          <w:szCs w:val="23"/>
        </w:rPr>
        <w:br/>
        <w:t>- лиц, обратившихся за получением российского гражданства, вида на жительство и (или) трудоустройства по личной инициативе граждан; </w:t>
      </w:r>
      <w:r>
        <w:rPr>
          <w:rFonts w:ascii="Arial" w:hAnsi="Arial" w:cs="Arial"/>
          <w:color w:val="6C7476"/>
          <w:sz w:val="23"/>
          <w:szCs w:val="23"/>
        </w:rPr>
        <w:br/>
        <w:t>- лиц, обратившихся за получением выездной визы (кроме детей до 18 лет); </w:t>
      </w:r>
      <w:r>
        <w:rPr>
          <w:rFonts w:ascii="Arial" w:hAnsi="Arial" w:cs="Arial"/>
          <w:color w:val="6C7476"/>
          <w:sz w:val="23"/>
          <w:szCs w:val="23"/>
        </w:rPr>
        <w:br/>
        <w:t>- иные виды медицинского освидетельствования, осмотров, экспертиз (в том числе экспертиз алкогольного и неалкогольного опьянения), производство судебных экспертиз по гражданским и арбитражным делам, делам об административных правонарушениях, проводимых по личной инициативе граждан или организаций, а также экспертиз для органов дознания, органов предварительного следствия и судов других территорий, по основаниям, предусмотренным пунктом восьмым статьи 11 Федерального закона от 31 мая 2001 года N 73-ФЗ "О государственной судебно-экспертной деятельности в РФ".</w:t>
      </w:r>
    </w:p>
    <w:p w:rsidR="00216EE7" w:rsidRDefault="00216EE7" w:rsidP="00216EE7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3. Иммунопрофилактика кроме прививок, включенных в Национальный календарь, календарь профилактических прививок по эпидемиологическим показаниям, дополнительной иммунизации в рамках приоритетного национального проекта «Здоровье»).</w:t>
      </w:r>
    </w:p>
    <w:p w:rsidR="00216EE7" w:rsidRDefault="00216EE7" w:rsidP="00216EE7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4. Консультации специалистов, предоставляемые в случае оказания услуги вне листа ожидания, по желанию пациента.</w:t>
      </w:r>
    </w:p>
    <w:p w:rsidR="00216EE7" w:rsidRDefault="00216EE7" w:rsidP="00216EE7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5. Прием врача, предоставляемый в случае оказания услуги вне листа ожидания, по желанию пациента.</w:t>
      </w:r>
    </w:p>
    <w:p w:rsidR="00216EE7" w:rsidRDefault="00216EE7" w:rsidP="00216EE7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6. Акушерство и гинекология: </w:t>
      </w:r>
      <w:r>
        <w:rPr>
          <w:rFonts w:ascii="Arial" w:hAnsi="Arial" w:cs="Arial"/>
          <w:color w:val="6C7476"/>
          <w:sz w:val="23"/>
          <w:szCs w:val="23"/>
        </w:rPr>
        <w:br/>
        <w:t>- гинекологический массаж; </w:t>
      </w:r>
      <w:r>
        <w:rPr>
          <w:rFonts w:ascii="Arial" w:hAnsi="Arial" w:cs="Arial"/>
          <w:color w:val="6C7476"/>
          <w:sz w:val="23"/>
          <w:szCs w:val="23"/>
        </w:rPr>
        <w:br/>
        <w:t>- введение внутриматочной спирали, в части оплаты ВМС; </w:t>
      </w:r>
      <w:r>
        <w:rPr>
          <w:rFonts w:ascii="Arial" w:hAnsi="Arial" w:cs="Arial"/>
          <w:color w:val="6C7476"/>
          <w:sz w:val="23"/>
          <w:szCs w:val="23"/>
        </w:rPr>
        <w:br/>
        <w:t>- дополнительные не медицинские услуги при родах по желанию женщины, в том числе присутствие мужа и родственников при родах, посещение родственниками, пребывание в отдельной палате, дополнительное питание, транспортные услуги.</w:t>
      </w:r>
    </w:p>
    <w:p w:rsidR="00216EE7" w:rsidRDefault="00216EE7" w:rsidP="00216EE7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lastRenderedPageBreak/>
        <w:t>7. Стоматология: </w:t>
      </w:r>
      <w:r>
        <w:rPr>
          <w:rFonts w:ascii="Arial" w:hAnsi="Arial" w:cs="Arial"/>
          <w:color w:val="6C7476"/>
          <w:sz w:val="23"/>
          <w:szCs w:val="23"/>
        </w:rPr>
        <w:br/>
        <w:t>- зубопротезирование, за исключением категорий, которым установлены льготы в соответствии с федеральным законодательством; </w:t>
      </w:r>
      <w:r>
        <w:rPr>
          <w:rFonts w:ascii="Arial" w:hAnsi="Arial" w:cs="Arial"/>
          <w:color w:val="6C7476"/>
          <w:sz w:val="23"/>
          <w:szCs w:val="23"/>
        </w:rPr>
        <w:br/>
        <w:t>- лечение зубов с применением дорогостоящих свето- и химиоотверждаемых композитных пломбировочных материалов (при условии оказания услуги в специально выделенных кабинетах или в свободное от основной работы время по желанию пациента);</w:t>
      </w:r>
    </w:p>
    <w:p w:rsidR="00216EE7" w:rsidRDefault="00216EE7" w:rsidP="00216EE7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8. Оперативные вмешательства, проведенные вне листа ожидания, по желанию пациента, сверх государственного (муниципального) задания.</w:t>
      </w:r>
    </w:p>
    <w:p w:rsidR="00216EE7" w:rsidRDefault="00216EE7" w:rsidP="00216EE7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9. Лечебно-диагностические: лабораторные, функциональные, рентгенологические, ультразвуковые, эндоскопические и иные исследования и процедуры, проводимые по желанию пациента сверх стандартов обследования и (или) лечения, вне листа ожидания.</w:t>
      </w:r>
    </w:p>
    <w:p w:rsidR="00216EE7" w:rsidRDefault="00216EE7" w:rsidP="00216EE7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10. Физиотерапия и лечебная физкультура: </w:t>
      </w:r>
      <w:r>
        <w:rPr>
          <w:rFonts w:ascii="Arial" w:hAnsi="Arial" w:cs="Arial"/>
          <w:color w:val="6C7476"/>
          <w:sz w:val="23"/>
          <w:szCs w:val="23"/>
        </w:rPr>
        <w:br/>
        <w:t>- массаж без медицинских показаний по желанию пациента;</w:t>
      </w:r>
    </w:p>
    <w:p w:rsidR="00216EE7" w:rsidRDefault="00216EE7" w:rsidP="00216EE7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11. Медицинское обеспечение спортивных соревнований, спортивных, оздоровительных и трудовых лагерей, массовых культурных и общественных мероприятий.</w:t>
      </w:r>
    </w:p>
    <w:p w:rsidR="00004CA1" w:rsidRDefault="00004CA1">
      <w:bookmarkStart w:id="0" w:name="_GoBack"/>
      <w:bookmarkEnd w:id="0"/>
    </w:p>
    <w:sectPr w:rsidR="0000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27"/>
    <w:rsid w:val="00004CA1"/>
    <w:rsid w:val="00164227"/>
    <w:rsid w:val="002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448F3-C292-4A32-98BE-165C61D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2019-11-14T10:50:00Z</dcterms:created>
  <dcterms:modified xsi:type="dcterms:W3CDTF">2019-11-14T10:50:00Z</dcterms:modified>
</cp:coreProperties>
</file>