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872A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Основные нормативные документы, регламентирующие порядок и условия предоставления пациентам стационарной медицинской помощи:</w:t>
      </w:r>
    </w:p>
    <w:p w14:paraId="11C42310" w14:textId="77777777" w:rsidR="005B66F8" w:rsidRPr="005B66F8" w:rsidRDefault="005B66F8" w:rsidP="005B66F8">
      <w:pPr>
        <w:numPr>
          <w:ilvl w:val="0"/>
          <w:numId w:val="1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Приказ МЗ и СР РФ от 21.11.2011 г. №323-ФЗ «Об основах охраны здоровья граждан Российской Федерации»;</w:t>
      </w:r>
    </w:p>
    <w:p w14:paraId="2C81D742" w14:textId="77777777" w:rsidR="005B66F8" w:rsidRPr="005B66F8" w:rsidRDefault="005B66F8" w:rsidP="005B66F8">
      <w:pPr>
        <w:numPr>
          <w:ilvl w:val="0"/>
          <w:numId w:val="1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Приказ МЗ и СР РФ от 28.02.2011 г. №158н «Об утверждении правил ОМС»;</w:t>
      </w:r>
    </w:p>
    <w:p w14:paraId="0C2BCC88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Госпитализация гражданина в больничное учреждение осуществляется в случаях:</w:t>
      </w:r>
    </w:p>
    <w:p w14:paraId="075230D0" w14:textId="77777777" w:rsidR="005B66F8" w:rsidRPr="005B66F8" w:rsidRDefault="005B66F8" w:rsidP="005B66F8">
      <w:pPr>
        <w:numPr>
          <w:ilvl w:val="0"/>
          <w:numId w:val="2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доставки бригадой СМП;</w:t>
      </w:r>
    </w:p>
    <w:p w14:paraId="77273FE6" w14:textId="77777777" w:rsidR="005B66F8" w:rsidRPr="005B66F8" w:rsidRDefault="005B66F8" w:rsidP="005B66F8">
      <w:pPr>
        <w:numPr>
          <w:ilvl w:val="0"/>
          <w:numId w:val="2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самостоятельного обращения больного по экстренным показаниям;</w:t>
      </w:r>
    </w:p>
    <w:p w14:paraId="37CB5E6E" w14:textId="77777777" w:rsidR="005B66F8" w:rsidRPr="005B66F8" w:rsidRDefault="005B66F8" w:rsidP="005B66F8">
      <w:pPr>
        <w:numPr>
          <w:ilvl w:val="0"/>
          <w:numId w:val="2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направления лечащим врачом  поликлиники;</w:t>
      </w:r>
    </w:p>
    <w:p w14:paraId="0FF26FD1" w14:textId="77777777" w:rsidR="005B66F8" w:rsidRPr="005B66F8" w:rsidRDefault="005B66F8" w:rsidP="005B66F8">
      <w:pPr>
        <w:numPr>
          <w:ilvl w:val="0"/>
          <w:numId w:val="2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направление врача приемного отделения стационара либо зав. отделением;</w:t>
      </w:r>
    </w:p>
    <w:p w14:paraId="62B84DD6" w14:textId="77777777" w:rsidR="005B66F8" w:rsidRPr="005B66F8" w:rsidRDefault="005B66F8" w:rsidP="005B66F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b/>
          <w:bCs/>
          <w:color w:val="2E3D4C"/>
          <w:sz w:val="21"/>
          <w:szCs w:val="21"/>
          <w:bdr w:val="none" w:sz="0" w:space="0" w:color="auto" w:frame="1"/>
          <w:lang w:eastAsia="ru-RU"/>
        </w:rPr>
        <w:t>Показания для госпитализации:</w:t>
      </w:r>
    </w:p>
    <w:p w14:paraId="538EEB53" w14:textId="77777777" w:rsidR="005B66F8" w:rsidRPr="005B66F8" w:rsidRDefault="005B66F8" w:rsidP="005B66F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bdr w:val="none" w:sz="0" w:space="0" w:color="auto" w:frame="1"/>
          <w:lang w:eastAsia="ru-RU"/>
        </w:rPr>
        <w:t>Показания для экстренной госпитализации в круглосуточный стационар</w:t>
      </w:r>
    </w:p>
    <w:p w14:paraId="2CE6AE2A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 Госпитализации по экстренным показаниям осуществляется</w:t>
      </w:r>
    </w:p>
    <w:p w14:paraId="28B44106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-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14:paraId="262F4CC3" w14:textId="77777777" w:rsidR="005B66F8" w:rsidRPr="005B66F8" w:rsidRDefault="005B66F8" w:rsidP="005B66F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bdr w:val="none" w:sz="0" w:space="0" w:color="auto" w:frame="1"/>
          <w:lang w:eastAsia="ru-RU"/>
        </w:rPr>
        <w:t>Показания для плановой госпитализации в круглосуточный стационар</w:t>
      </w:r>
    </w:p>
    <w:p w14:paraId="7FA0968C" w14:textId="77777777" w:rsidR="005B66F8" w:rsidRPr="005B66F8" w:rsidRDefault="005B66F8" w:rsidP="005B66F8">
      <w:pPr>
        <w:numPr>
          <w:ilvl w:val="0"/>
          <w:numId w:val="3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невозможность проведения лечебных мероприятий в амбулаторно- поликлинических условиях;</w:t>
      </w:r>
    </w:p>
    <w:p w14:paraId="4EBC8486" w14:textId="77777777" w:rsidR="005B66F8" w:rsidRPr="005B66F8" w:rsidRDefault="005B66F8" w:rsidP="005B66F8">
      <w:pPr>
        <w:numPr>
          <w:ilvl w:val="0"/>
          <w:numId w:val="3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невозможность проведения диагностических мероприятий в амбулаторно- поликлинических условиях;</w:t>
      </w:r>
    </w:p>
    <w:p w14:paraId="3134F8B3" w14:textId="77777777" w:rsidR="005B66F8" w:rsidRPr="005B66F8" w:rsidRDefault="005B66F8" w:rsidP="005B66F8">
      <w:pPr>
        <w:numPr>
          <w:ilvl w:val="0"/>
          <w:numId w:val="3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необходимость постоянного врачебного наблюдения не менее 3-х раз в сутки;</w:t>
      </w:r>
    </w:p>
    <w:p w14:paraId="5835B3B5" w14:textId="77777777" w:rsidR="005B66F8" w:rsidRPr="005B66F8" w:rsidRDefault="005B66F8" w:rsidP="005B66F8">
      <w:pPr>
        <w:numPr>
          <w:ilvl w:val="0"/>
          <w:numId w:val="3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необходимость круглосуточного выполнения лечебных процедур не менее 3-х раз в сутки</w:t>
      </w:r>
    </w:p>
    <w:p w14:paraId="1F3C07F0" w14:textId="77777777" w:rsidR="005B66F8" w:rsidRPr="005B66F8" w:rsidRDefault="005B66F8" w:rsidP="005B66F8">
      <w:pPr>
        <w:numPr>
          <w:ilvl w:val="0"/>
          <w:numId w:val="3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территориальная отдаленность больного от стационара (с учетом потенциально возможного ухудшения);</w:t>
      </w:r>
    </w:p>
    <w:p w14:paraId="5D094C37" w14:textId="77777777" w:rsidR="005B66F8" w:rsidRPr="005B66F8" w:rsidRDefault="005B66F8" w:rsidP="005B66F8">
      <w:pPr>
        <w:numPr>
          <w:ilvl w:val="0"/>
          <w:numId w:val="3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неэффективность амбулаторного лечения у часто и длительно болеющих.</w:t>
      </w:r>
    </w:p>
    <w:p w14:paraId="48BDC581" w14:textId="77777777" w:rsidR="005B66F8" w:rsidRPr="005B66F8" w:rsidRDefault="005B66F8" w:rsidP="005B66F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bdr w:val="none" w:sz="0" w:space="0" w:color="auto" w:frame="1"/>
          <w:lang w:eastAsia="ru-RU"/>
        </w:rPr>
        <w:t>Показания для плановой госпитализации в дневной стационар</w:t>
      </w:r>
    </w:p>
    <w:p w14:paraId="334EB271" w14:textId="77777777" w:rsidR="005B66F8" w:rsidRPr="005B66F8" w:rsidRDefault="005B66F8" w:rsidP="005B66F8">
      <w:pPr>
        <w:numPr>
          <w:ilvl w:val="0"/>
          <w:numId w:val="4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14:paraId="6D2064F3" w14:textId="77777777" w:rsidR="005B66F8" w:rsidRPr="005B66F8" w:rsidRDefault="005B66F8" w:rsidP="005B66F8">
      <w:pPr>
        <w:numPr>
          <w:ilvl w:val="0"/>
          <w:numId w:val="4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14:paraId="0ECDBE8F" w14:textId="77777777" w:rsidR="005B66F8" w:rsidRPr="005B66F8" w:rsidRDefault="005B66F8" w:rsidP="005B66F8">
      <w:pPr>
        <w:numPr>
          <w:ilvl w:val="0"/>
          <w:numId w:val="4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14:paraId="0614263B" w14:textId="77777777" w:rsidR="005B66F8" w:rsidRPr="005B66F8" w:rsidRDefault="005B66F8" w:rsidP="005B66F8">
      <w:pPr>
        <w:numPr>
          <w:ilvl w:val="0"/>
          <w:numId w:val="4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14:paraId="4E0B5457" w14:textId="77777777" w:rsidR="005B66F8" w:rsidRPr="005B66F8" w:rsidRDefault="005B66F8" w:rsidP="005B66F8">
      <w:pPr>
        <w:numPr>
          <w:ilvl w:val="0"/>
          <w:numId w:val="4"/>
        </w:numPr>
        <w:spacing w:after="0" w:line="315" w:lineRule="atLeast"/>
        <w:ind w:left="24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невозможность госпитализации в круглосуточный стационар в ситуациях, зависящих от больного  и не требующего постельного режима.</w:t>
      </w:r>
    </w:p>
    <w:p w14:paraId="23AF5C35" w14:textId="77777777" w:rsidR="005B66F8" w:rsidRPr="005B66F8" w:rsidRDefault="005B66F8" w:rsidP="005B66F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b/>
          <w:bCs/>
          <w:color w:val="2E3D4C"/>
          <w:sz w:val="21"/>
          <w:szCs w:val="21"/>
          <w:bdr w:val="none" w:sz="0" w:space="0" w:color="auto" w:frame="1"/>
          <w:lang w:eastAsia="ru-RU"/>
        </w:rPr>
        <w:t>Порядок госпитализации больного в стационар</w:t>
      </w:r>
    </w:p>
    <w:p w14:paraId="1971257D" w14:textId="77777777" w:rsidR="005B66F8" w:rsidRPr="005B66F8" w:rsidRDefault="005B66F8" w:rsidP="005B66F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1. </w:t>
      </w:r>
      <w:r w:rsidRPr="005B66F8">
        <w:rPr>
          <w:rFonts w:ascii="Arial" w:eastAsia="Times New Roman" w:hAnsi="Arial" w:cs="Arial"/>
          <w:i/>
          <w:iCs/>
          <w:color w:val="2E3D4C"/>
          <w:sz w:val="21"/>
          <w:szCs w:val="21"/>
          <w:bdr w:val="none" w:sz="0" w:space="0" w:color="auto" w:frame="1"/>
          <w:lang w:eastAsia="ru-RU"/>
        </w:rPr>
        <w:t>Экстренная госпитализация</w:t>
      </w: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 - острые заболевания, обострения хронических болезней, состояния требующие интенсивной терапии и круглосуточного медицинского наблюдения</w:t>
      </w:r>
    </w:p>
    <w:p w14:paraId="24B7E3C9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14:paraId="3DAA526A" w14:textId="77777777" w:rsidR="005B66F8" w:rsidRPr="005B66F8" w:rsidRDefault="005B66F8" w:rsidP="005B66F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2. </w:t>
      </w:r>
      <w:r w:rsidRPr="005B66F8">
        <w:rPr>
          <w:rFonts w:ascii="Arial" w:eastAsia="Times New Roman" w:hAnsi="Arial" w:cs="Arial"/>
          <w:i/>
          <w:iCs/>
          <w:color w:val="2E3D4C"/>
          <w:sz w:val="21"/>
          <w:szCs w:val="21"/>
          <w:bdr w:val="none" w:sz="0" w:space="0" w:color="auto" w:frame="1"/>
          <w:lang w:eastAsia="ru-RU"/>
        </w:rPr>
        <w:t>Плановая госпитализация</w:t>
      </w: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 – проведение диагностики и лечения, требующие круглосуточного медицинского наблюдения.</w:t>
      </w:r>
    </w:p>
    <w:p w14:paraId="4A286F6B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При госпитализации гражданина в  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14:paraId="0C473D95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lastRenderedPageBreak/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В стационаре заполняется журнал ожидания плановой госпитализации, в том числе для плановых оперативных вмешательств, в котором должны отражаться даты плановой госпитализации (с подписью пациента об ознакомлении), фактической госпитализации, а также отказы пациентов (с подписью) от даты назначенной плановой госпитализации.</w:t>
      </w:r>
    </w:p>
    <w:p w14:paraId="24122B36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Максимальные сроки ожидания плановой госпитализации для оказания специализированной, за исключением высокотехнологичной, медицинской помощи в стационарных условиях - не более 30 дней с момента выдачи лечащим врачом направления на госпитализацию.</w:t>
      </w:r>
    </w:p>
    <w:p w14:paraId="6810854A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 </w:t>
      </w:r>
    </w:p>
    <w:p w14:paraId="5CD65D72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либо с информированного согласия больной обследуется на платной основе в приемном отделении с последующей госпитализацией.</w:t>
      </w:r>
    </w:p>
    <w:p w14:paraId="26CBB808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14:paraId="705FC7AC" w14:textId="77777777" w:rsidR="005B66F8" w:rsidRPr="005B66F8" w:rsidRDefault="005B66F8" w:rsidP="005B66F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i/>
          <w:iCs/>
          <w:color w:val="2E3D4C"/>
          <w:sz w:val="21"/>
          <w:szCs w:val="21"/>
          <w:bdr w:val="none" w:sz="0" w:space="0" w:color="auto" w:frame="1"/>
          <w:lang w:eastAsia="ru-RU"/>
        </w:rPr>
        <w:t>Объем минимального обследования на амбулаторном этапе для госпитализации в стационар для консервативного лечения:</w:t>
      </w:r>
    </w:p>
    <w:p w14:paraId="257BF73D" w14:textId="77777777" w:rsidR="005B66F8" w:rsidRPr="005B66F8" w:rsidRDefault="005B66F8" w:rsidP="005B66F8">
      <w:pPr>
        <w:numPr>
          <w:ilvl w:val="0"/>
          <w:numId w:val="5"/>
        </w:numPr>
        <w:spacing w:after="0" w:line="315" w:lineRule="atLeast"/>
        <w:ind w:left="27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Общий анализ крови(не &gt;1 нед),</w:t>
      </w:r>
    </w:p>
    <w:p w14:paraId="1FC8AC6A" w14:textId="77777777" w:rsidR="005B66F8" w:rsidRPr="005B66F8" w:rsidRDefault="005B66F8" w:rsidP="005B66F8">
      <w:pPr>
        <w:numPr>
          <w:ilvl w:val="0"/>
          <w:numId w:val="5"/>
        </w:numPr>
        <w:spacing w:after="0" w:line="315" w:lineRule="atLeast"/>
        <w:ind w:left="270"/>
        <w:jc w:val="both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Общий анализ мочи(не &gt;1 нед), 5. Сахар крови(не &gt;1 нед) 6. ЭКГ(не &gt;1 нед); 7. Заключение терапевта (не &gt;1 нед) 8. RW(не &gt;1 мес); 9. Заключение флюорографии (не более 1 года) 10.Заключение специалистов (по показаниям) (не &gt;1 нед)</w:t>
      </w:r>
    </w:p>
    <w:p w14:paraId="708B1C65" w14:textId="77777777" w:rsidR="005B66F8" w:rsidRPr="005B66F8" w:rsidRDefault="005B66F8" w:rsidP="005B66F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i/>
          <w:iCs/>
          <w:color w:val="2E3D4C"/>
          <w:sz w:val="21"/>
          <w:szCs w:val="21"/>
          <w:bdr w:val="none" w:sz="0" w:space="0" w:color="auto" w:frame="1"/>
          <w:lang w:eastAsia="ru-RU"/>
        </w:rPr>
        <w:t>Объем минимального обследования на амбулаторном этапе для госпитализации в стационар для оперативного лечения:</w:t>
      </w:r>
    </w:p>
    <w:p w14:paraId="23CD503F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Общий анализ крови + тромбоциты (не &gt;1 нед)</w:t>
      </w:r>
    </w:p>
    <w:p w14:paraId="168C369D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Общий анализ мочи(не &gt;1 нед),</w:t>
      </w:r>
    </w:p>
    <w:p w14:paraId="1C17E194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ПТИ, (не &gt;1 нед)</w:t>
      </w:r>
    </w:p>
    <w:p w14:paraId="5B35BB9D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Сахар крови (не &gt;1 нед)</w:t>
      </w:r>
    </w:p>
    <w:p w14:paraId="376B4F80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Общий билирубин и фракции(не &gt;1 нед), . АСТ, АЛТ(не &gt;1 нед),  Креатинин, мочевина (не более 1 нед)</w:t>
      </w:r>
    </w:p>
    <w:p w14:paraId="2AD5B6B2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ЭКГ(не &gt;1 нед);</w:t>
      </w:r>
    </w:p>
    <w:p w14:paraId="63CE924B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Заключение терапевта (не &gt;1 нед)</w:t>
      </w:r>
    </w:p>
    <w:p w14:paraId="06CF39F7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RW(не &gt;1 мес.);</w:t>
      </w:r>
    </w:p>
    <w:p w14:paraId="56EF6FBA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Заключение флюорографии (не более 1 года)</w:t>
      </w:r>
    </w:p>
    <w:p w14:paraId="3A9E18D9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Анализ крови на ВИЧ, на маркёры гепатитов В и С (не более 1 года)</w:t>
      </w:r>
    </w:p>
    <w:p w14:paraId="5E2C1459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Заключение специалистов (по показаниям) (не &gt;1 нед)</w:t>
      </w:r>
    </w:p>
    <w:p w14:paraId="5C157A2A" w14:textId="77777777" w:rsidR="005B66F8" w:rsidRPr="005B66F8" w:rsidRDefault="005B66F8" w:rsidP="005B66F8">
      <w:pPr>
        <w:numPr>
          <w:ilvl w:val="0"/>
          <w:numId w:val="6"/>
        </w:numPr>
        <w:spacing w:after="0" w:line="315" w:lineRule="atLeast"/>
        <w:ind w:left="27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До госпитальная подготовка к операции.</w:t>
      </w:r>
    </w:p>
    <w:p w14:paraId="3EFC834F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Примечание: 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14:paraId="784656AC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Необходимые документы для госпитализации в стационар: 1) Действующий медицинский полис. 2) Паспорт. 3) Направление. 4) СНИЛС.</w:t>
      </w:r>
    </w:p>
    <w:p w14:paraId="3D77F0AE" w14:textId="77777777" w:rsidR="005B66F8" w:rsidRPr="005B66F8" w:rsidRDefault="005B66F8" w:rsidP="005B66F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18"/>
          <w:szCs w:val="18"/>
          <w:bdr w:val="none" w:sz="0" w:space="0" w:color="auto" w:frame="1"/>
          <w:lang w:eastAsia="ru-RU"/>
        </w:rPr>
        <w:lastRenderedPageBreak/>
        <w:t>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граждан, которым по состоянию здоровья необходимо медицинское наблюдение и лечение, но не требуется круглосуточное медицинское наблюдение и лечение.</w:t>
      </w:r>
    </w:p>
    <w:p w14:paraId="3D592824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Дневные стационары организуются по следующим типам:</w:t>
      </w:r>
    </w:p>
    <w:p w14:paraId="2065BA42" w14:textId="77777777" w:rsidR="005B66F8" w:rsidRPr="005B66F8" w:rsidRDefault="005B66F8" w:rsidP="005B66F8">
      <w:pPr>
        <w:numPr>
          <w:ilvl w:val="0"/>
          <w:numId w:val="7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дневной стационар в амбулаторно-поликлиническом учреждении;</w:t>
      </w:r>
    </w:p>
    <w:p w14:paraId="79A72CE5" w14:textId="77777777" w:rsidR="005B66F8" w:rsidRPr="005B66F8" w:rsidRDefault="005B66F8" w:rsidP="005B66F8">
      <w:pPr>
        <w:numPr>
          <w:ilvl w:val="0"/>
          <w:numId w:val="7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стационар на дому.</w:t>
      </w:r>
    </w:p>
    <w:p w14:paraId="1D7252DE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Ежедневная длительность пребывания пациентов в дневных стационарах (кроме стационаров на дому) составляет не менее трех часов для дневного стационара при поликлинике.</w:t>
      </w:r>
    </w:p>
    <w:p w14:paraId="45E1C3EC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Лечащий врач выбирает тип стационарозамещающей помощи в зависимости от конкретного заболевания, его тяжести, возможности посещения пациентом медицинской организации, а также обеспечения родственниками ухода за пациентом в стационаре на дому.</w:t>
      </w:r>
    </w:p>
    <w:p w14:paraId="01261432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В дневном стационаре медицинской организации пациенту предоставляются:</w:t>
      </w:r>
    </w:p>
    <w:p w14:paraId="2CE18560" w14:textId="77777777" w:rsidR="005B66F8" w:rsidRPr="005B66F8" w:rsidRDefault="005B66F8" w:rsidP="005B66F8">
      <w:pPr>
        <w:numPr>
          <w:ilvl w:val="0"/>
          <w:numId w:val="8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койка на период времени лечения в дневном стационаре;</w:t>
      </w:r>
    </w:p>
    <w:p w14:paraId="62C68B17" w14:textId="77777777" w:rsidR="005B66F8" w:rsidRPr="005B66F8" w:rsidRDefault="005B66F8" w:rsidP="005B66F8">
      <w:pPr>
        <w:numPr>
          <w:ilvl w:val="0"/>
          <w:numId w:val="8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ежедневное наблюдение лечащего врача;</w:t>
      </w:r>
    </w:p>
    <w:p w14:paraId="75D2E72D" w14:textId="77777777" w:rsidR="005B66F8" w:rsidRPr="005B66F8" w:rsidRDefault="005B66F8" w:rsidP="005B66F8">
      <w:pPr>
        <w:numPr>
          <w:ilvl w:val="0"/>
          <w:numId w:val="8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лабораторно-диагностические исследования;</w:t>
      </w:r>
    </w:p>
    <w:p w14:paraId="36FBAE92" w14:textId="77777777" w:rsidR="005B66F8" w:rsidRPr="005B66F8" w:rsidRDefault="005B66F8" w:rsidP="005B66F8">
      <w:pPr>
        <w:numPr>
          <w:ilvl w:val="0"/>
          <w:numId w:val="8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 в соответствии со стандартами медицинской помощи и перечнем жизненно необходимых и важнейших лекарственных препаратов и медицинских изделий, применяемых при оказании стационарной медицинской помощи в рамках Территориальной программы;</w:t>
      </w:r>
    </w:p>
    <w:p w14:paraId="7064EF60" w14:textId="77777777" w:rsidR="005B66F8" w:rsidRPr="005B66F8" w:rsidRDefault="005B66F8" w:rsidP="005B66F8">
      <w:pPr>
        <w:numPr>
          <w:ilvl w:val="0"/>
          <w:numId w:val="8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лечебные манипуляции и процедуры в объемах стандартов оказания медицинской помощи.</w:t>
      </w:r>
    </w:p>
    <w:p w14:paraId="6B403BFF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При необходимости в комплекс лечения пациентов включаются физиотерапевтические процедуры (не более двух методов электролечения одновременно), массаж, занятия лечебной физкультурой и другое лечение в рамках оказания медицинской помощи по профилю основного заболевания.</w:t>
      </w:r>
    </w:p>
    <w:p w14:paraId="1A4A84E0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В условиях стационара на дому медицинская помощь оказывается пациентам (частично или полностью утратившим способность к передвижению и самообслуживанию), которые не нуждаются в круглосуточном медицинском наблюдении по поводу заболеваний, не представляющих угрозу для жизни пациента или здоровью окружающих, но по состоянию здоровья для получения необходимой медицинской помощи не могут самостоятельно посещать медицинскую организацию.</w:t>
      </w:r>
    </w:p>
    <w:p w14:paraId="37D833C2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В стационаре на дому пациенту предоставляются:</w:t>
      </w:r>
    </w:p>
    <w:p w14:paraId="7C465DA8" w14:textId="77777777" w:rsidR="005B66F8" w:rsidRPr="005B66F8" w:rsidRDefault="005B66F8" w:rsidP="005B66F8">
      <w:pPr>
        <w:numPr>
          <w:ilvl w:val="0"/>
          <w:numId w:val="9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ежедневный осмотр врача;</w:t>
      </w:r>
    </w:p>
    <w:p w14:paraId="32840179" w14:textId="77777777" w:rsidR="005B66F8" w:rsidRPr="005B66F8" w:rsidRDefault="005B66F8" w:rsidP="005B66F8">
      <w:pPr>
        <w:numPr>
          <w:ilvl w:val="0"/>
          <w:numId w:val="9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подобное);</w:t>
      </w:r>
    </w:p>
    <w:p w14:paraId="0D395A26" w14:textId="77777777" w:rsidR="005B66F8" w:rsidRPr="005B66F8" w:rsidRDefault="005B66F8" w:rsidP="005B66F8">
      <w:pPr>
        <w:numPr>
          <w:ilvl w:val="0"/>
          <w:numId w:val="9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лечебные манипуляции и процедуры по показаниям;</w:t>
      </w:r>
    </w:p>
    <w:p w14:paraId="6C441973" w14:textId="77777777" w:rsidR="005B66F8" w:rsidRPr="005B66F8" w:rsidRDefault="005B66F8" w:rsidP="005B66F8">
      <w:pPr>
        <w:numPr>
          <w:ilvl w:val="0"/>
          <w:numId w:val="9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консультации узких специалистов (при необходимости);</w:t>
      </w:r>
    </w:p>
    <w:p w14:paraId="0B915315" w14:textId="77777777" w:rsidR="005B66F8" w:rsidRPr="005B66F8" w:rsidRDefault="005B66F8" w:rsidP="005B66F8">
      <w:pPr>
        <w:numPr>
          <w:ilvl w:val="0"/>
          <w:numId w:val="9"/>
        </w:numPr>
        <w:spacing w:after="0" w:line="315" w:lineRule="atLeast"/>
        <w:ind w:left="240"/>
        <w:textAlignment w:val="baseline"/>
        <w:rPr>
          <w:rFonts w:ascii="Tahoma" w:eastAsia="Times New Roman" w:hAnsi="Tahoma" w:cs="Tahoma"/>
          <w:color w:val="303F50"/>
          <w:sz w:val="21"/>
          <w:szCs w:val="21"/>
          <w:lang w:eastAsia="ru-RU"/>
        </w:rPr>
      </w:pPr>
      <w:r w:rsidRPr="005B66F8">
        <w:rPr>
          <w:rFonts w:ascii="Tahoma" w:eastAsia="Times New Roman" w:hAnsi="Tahoma" w:cs="Tahoma"/>
          <w:color w:val="303F50"/>
          <w:sz w:val="21"/>
          <w:szCs w:val="21"/>
          <w:lang w:eastAsia="ru-RU"/>
        </w:rPr>
        <w:t>транспорт для транспортировки в медицинскую организацию с целью проведения необходимых диагностических исследований, проведение которых на дому невозможно.</w:t>
      </w:r>
    </w:p>
    <w:p w14:paraId="612CFB4F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Максимальные сроки ожидания плановой госпитализации в дневные стационары не могут превышать 14 дней.</w:t>
      </w:r>
    </w:p>
    <w:p w14:paraId="15B1E5C3" w14:textId="77777777" w:rsidR="005B66F8" w:rsidRPr="005B66F8" w:rsidRDefault="005B66F8" w:rsidP="005B66F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E3D4C"/>
          <w:sz w:val="21"/>
          <w:szCs w:val="21"/>
          <w:lang w:eastAsia="ru-RU"/>
        </w:rPr>
      </w:pPr>
      <w:r w:rsidRPr="005B66F8">
        <w:rPr>
          <w:rFonts w:ascii="Arial" w:eastAsia="Times New Roman" w:hAnsi="Arial" w:cs="Arial"/>
          <w:color w:val="2E3D4C"/>
          <w:sz w:val="21"/>
          <w:szCs w:val="21"/>
          <w:lang w:eastAsia="ru-RU"/>
        </w:rPr>
        <w:t>В дневном стационаре медицинской организации ведется и заполняется журнал ожидания плановой госпитализации, в котором должны отражаться даты плановой госпитализации, даты фактической госпитализации, а также отказы </w:t>
      </w:r>
    </w:p>
    <w:p w14:paraId="2F2D335B" w14:textId="77777777" w:rsidR="001C5749" w:rsidRDefault="001C5749">
      <w:bookmarkStart w:id="0" w:name="_GoBack"/>
      <w:bookmarkEnd w:id="0"/>
    </w:p>
    <w:sectPr w:rsidR="001C5749" w:rsidSect="005B6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EC4"/>
    <w:multiLevelType w:val="multilevel"/>
    <w:tmpl w:val="179A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0CF7"/>
    <w:multiLevelType w:val="multilevel"/>
    <w:tmpl w:val="1332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C11AE"/>
    <w:multiLevelType w:val="multilevel"/>
    <w:tmpl w:val="E4F6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D3F0E"/>
    <w:multiLevelType w:val="multilevel"/>
    <w:tmpl w:val="8AF4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72F0A"/>
    <w:multiLevelType w:val="multilevel"/>
    <w:tmpl w:val="C1F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C0D14"/>
    <w:multiLevelType w:val="multilevel"/>
    <w:tmpl w:val="C54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A611D"/>
    <w:multiLevelType w:val="multilevel"/>
    <w:tmpl w:val="DF44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81CCB"/>
    <w:multiLevelType w:val="multilevel"/>
    <w:tmpl w:val="C0B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10381"/>
    <w:multiLevelType w:val="multilevel"/>
    <w:tmpl w:val="102C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A4"/>
    <w:rsid w:val="001756A4"/>
    <w:rsid w:val="001C5749"/>
    <w:rsid w:val="005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5BC5-9646-40E7-8311-E822204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6F8"/>
    <w:rPr>
      <w:b/>
      <w:bCs/>
    </w:rPr>
  </w:style>
  <w:style w:type="character" w:styleId="a5">
    <w:name w:val="Emphasis"/>
    <w:basedOn w:val="a0"/>
    <w:uiPriority w:val="20"/>
    <w:qFormat/>
    <w:rsid w:val="005B6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2019-06-20T06:35:00Z</dcterms:created>
  <dcterms:modified xsi:type="dcterms:W3CDTF">2019-06-20T06:35:00Z</dcterms:modified>
</cp:coreProperties>
</file>