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82" w:rsidRPr="00033982" w:rsidRDefault="00033982" w:rsidP="00033982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ПРАВИТЕЛЬСТВО РОССИЙСКОЙ ФЕДЕРАЦИИ</w:t>
      </w: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РАСПОРЯЖЕНИЕ</w:t>
      </w:r>
    </w:p>
    <w:p w:rsidR="00033982" w:rsidRPr="00033982" w:rsidRDefault="00033982" w:rsidP="0003398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от 10 декабря 2018 г. N 2738-р</w:t>
      </w: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1. Утвердить: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033982">
          <w:rPr>
            <w:rFonts w:ascii="Calibri" w:hAnsi="Calibri" w:cs="Calibri"/>
            <w:color w:val="0000FF"/>
            <w:sz w:val="22"/>
            <w:szCs w:val="20"/>
          </w:rPr>
          <w:t>приложению N 1</w:t>
        </w:r>
      </w:hyperlink>
      <w:r w:rsidRPr="00033982">
        <w:rPr>
          <w:rFonts w:ascii="Calibri" w:hAnsi="Calibri" w:cs="Calibri"/>
          <w:sz w:val="22"/>
          <w:szCs w:val="20"/>
        </w:rPr>
        <w:t>;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033982">
          <w:rPr>
            <w:rFonts w:ascii="Calibri" w:hAnsi="Calibri" w:cs="Calibri"/>
            <w:color w:val="0000FF"/>
            <w:sz w:val="22"/>
            <w:szCs w:val="20"/>
          </w:rPr>
          <w:t>приложению N 2</w:t>
        </w:r>
      </w:hyperlink>
      <w:r w:rsidRPr="00033982">
        <w:rPr>
          <w:rFonts w:ascii="Calibri" w:hAnsi="Calibri" w:cs="Calibri"/>
          <w:sz w:val="22"/>
          <w:szCs w:val="20"/>
        </w:rPr>
        <w:t>;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033982">
          <w:rPr>
            <w:rFonts w:ascii="Calibri" w:hAnsi="Calibri" w:cs="Calibri"/>
            <w:color w:val="0000FF"/>
            <w:sz w:val="22"/>
            <w:szCs w:val="20"/>
          </w:rPr>
          <w:t>приложению N 3</w:t>
        </w:r>
      </w:hyperlink>
      <w:r w:rsidRPr="00033982">
        <w:rPr>
          <w:rFonts w:ascii="Calibri" w:hAnsi="Calibri" w:cs="Calibri"/>
          <w:sz w:val="22"/>
          <w:szCs w:val="20"/>
        </w:rPr>
        <w:t>;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033982">
          <w:rPr>
            <w:rFonts w:ascii="Calibri" w:hAnsi="Calibri" w:cs="Calibri"/>
            <w:color w:val="0000FF"/>
            <w:sz w:val="22"/>
            <w:szCs w:val="20"/>
          </w:rPr>
          <w:t>приложению N 4</w:t>
        </w:r>
      </w:hyperlink>
      <w:r w:rsidRPr="00033982">
        <w:rPr>
          <w:rFonts w:ascii="Calibri" w:hAnsi="Calibri" w:cs="Calibri"/>
          <w:sz w:val="22"/>
          <w:szCs w:val="20"/>
        </w:rPr>
        <w:t>.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 xml:space="preserve">2. Признать утратившим силу </w:t>
      </w:r>
      <w:hyperlink r:id="rId5" w:history="1">
        <w:r w:rsidRPr="00033982">
          <w:rPr>
            <w:rFonts w:ascii="Calibri" w:hAnsi="Calibri" w:cs="Calibri"/>
            <w:color w:val="0000FF"/>
            <w:sz w:val="22"/>
            <w:szCs w:val="20"/>
          </w:rPr>
          <w:t>распоряжение</w:t>
        </w:r>
      </w:hyperlink>
      <w:r w:rsidRPr="00033982">
        <w:rPr>
          <w:rFonts w:ascii="Calibri" w:hAnsi="Calibri" w:cs="Calibri"/>
          <w:sz w:val="22"/>
          <w:szCs w:val="20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033982" w:rsidRPr="00033982" w:rsidRDefault="00033982" w:rsidP="00033982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3. Настоящее распоряжение вступает в силу с 1 января 2019 г.</w:t>
      </w: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Председатель Правительства</w:t>
      </w: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Российской Федерации</w:t>
      </w: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Д.МЕДВЕДЕВ</w:t>
      </w: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8C23E0" w:rsidRDefault="008C23E0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8C23E0" w:rsidRDefault="008C23E0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F0C65" w:rsidRDefault="009F0C65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F0C65" w:rsidRDefault="009F0C65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F0C65" w:rsidRDefault="009F0C65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9F0C65" w:rsidRDefault="009F0C65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8C23E0" w:rsidRDefault="008C23E0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8C23E0" w:rsidRDefault="008C23E0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8C23E0" w:rsidRDefault="008C23E0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F04CB4" w:rsidRDefault="00F04CB4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lastRenderedPageBreak/>
        <w:t>Приложение N 1</w:t>
      </w: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к распоряжению Правительства</w:t>
      </w: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Российской Федерации</w:t>
      </w:r>
    </w:p>
    <w:p w:rsidR="00033982" w:rsidRPr="00033982" w:rsidRDefault="00033982" w:rsidP="0003398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033982">
        <w:rPr>
          <w:rFonts w:ascii="Calibri" w:hAnsi="Calibri" w:cs="Calibri"/>
          <w:sz w:val="22"/>
          <w:szCs w:val="20"/>
        </w:rPr>
        <w:t>от 10 декабря 2018 г. N 2738-р</w:t>
      </w:r>
    </w:p>
    <w:p w:rsidR="00033982" w:rsidRPr="00033982" w:rsidRDefault="00033982" w:rsidP="000339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3982" w:rsidRPr="00033982" w:rsidRDefault="00033982" w:rsidP="0003398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ПЕРЕЧЕНЬ</w:t>
      </w:r>
    </w:p>
    <w:p w:rsidR="00033982" w:rsidRPr="00033982" w:rsidRDefault="00033982" w:rsidP="0003398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ЖИЗНЕННО НЕОБХОДИМЫХ И ВАЖНЕЙШИХ ЛЕКАРСТВЕННЫХ ПРЕПАРАТОВ</w:t>
      </w:r>
    </w:p>
    <w:p w:rsidR="00033982" w:rsidRDefault="00033982" w:rsidP="00F04CB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33982">
        <w:rPr>
          <w:rFonts w:ascii="Calibri" w:hAnsi="Calibri" w:cs="Calibri"/>
          <w:b/>
          <w:sz w:val="22"/>
          <w:szCs w:val="20"/>
        </w:rPr>
        <w:t>ДЛЯ МЕДИ</w:t>
      </w:r>
      <w:r w:rsidR="00F04CB4">
        <w:rPr>
          <w:rFonts w:ascii="Calibri" w:hAnsi="Calibri" w:cs="Calibri"/>
          <w:b/>
          <w:sz w:val="22"/>
          <w:szCs w:val="20"/>
        </w:rPr>
        <w:t>ЦИНСКОГО ПРИМЕНЕНИЯ НА 2019 ГОД</w:t>
      </w:r>
    </w:p>
    <w:p w:rsidR="00F04CB4" w:rsidRDefault="00F04CB4" w:rsidP="00F04CB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tbl>
      <w:tblPr>
        <w:tblW w:w="10658" w:type="dxa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33982" w:rsidRPr="00033982" w:rsidTr="00F04CB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Лекарственные формы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другие препараты для лечения язвенной болезни желудка и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лиофилизированные;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препараты для лечения заболеваний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для рассасывания;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жевательные;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лиофилизированные;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таблетки-лиофилизат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ректальная;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приема внутрь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вагинальные 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и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драже;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(масляный);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1</w:t>
            </w:r>
            <w:r w:rsidRPr="00033982">
              <w:rPr>
                <w:rFonts w:ascii="Calibri" w:hAnsi="Calibri" w:cs="Calibri"/>
                <w:sz w:val="22"/>
                <w:szCs w:val="20"/>
              </w:rPr>
              <w:t xml:space="preserve"> и его комбинации с витаминами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6</w:t>
            </w:r>
            <w:r w:rsidRPr="00033982">
              <w:rPr>
                <w:rFonts w:ascii="Calibri" w:hAnsi="Calibri" w:cs="Calibri"/>
                <w:sz w:val="22"/>
                <w:szCs w:val="20"/>
              </w:rPr>
              <w:t xml:space="preserve"> и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драже;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менадиона натрия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раствор для внутримышечного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губка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(замороженный)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жевательные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12</w:t>
            </w:r>
            <w:r w:rsidRPr="00033982">
              <w:rPr>
                <w:rFonts w:ascii="Calibri" w:hAnsi="Calibri" w:cs="Calibri"/>
                <w:sz w:val="22"/>
                <w:szCs w:val="20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витамин B</w:t>
            </w:r>
            <w:r w:rsidRPr="00033982">
              <w:rPr>
                <w:rFonts w:ascii="Calibri" w:hAnsi="Calibri" w:cs="Calibri"/>
                <w:sz w:val="22"/>
                <w:szCs w:val="20"/>
                <w:vertAlign w:val="subscript"/>
              </w:rPr>
              <w:t>12</w:t>
            </w:r>
            <w:r w:rsidRPr="00033982">
              <w:rPr>
                <w:rFonts w:ascii="Calibri" w:hAnsi="Calibri" w:cs="Calibri"/>
                <w:sz w:val="22"/>
                <w:szCs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кровезаменители и перфузионные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эмульсия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лактата раствор сложный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хлорида раствор сложный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 и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(для детей)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для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для местного и наружного применения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для местного применения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подъязычный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ретард;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подъязычный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подъязычные;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пленки для наклеивания на десну;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подъязычный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подъязычные;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сублингвальные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парабульбарного введения;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внутриартериального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замедленным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таблетки с модифицированным высвобождением, покрытые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диспергируемые в полости рта;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 (спиртовой)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антисептики и дезинфицирующие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 (спиртовой);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для наружного применения (спиртовой);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вагинальные;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вагинальные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местного и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вагинальные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вагинальный;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вагинальные;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вагинальные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интрацервикальный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масляный;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модифицированным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гормоны передней доли гипофиза и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диспергируемые в полости рта;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таблетки-лиофилизат;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подъязычные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 и местного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кортикостероиды системного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глазная;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внутримышечного и внутрисуставного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эмульсия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имплантат для интравитреального введения;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жевательные;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другие бета-лактамные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 и ушные;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глазная;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 и ушные;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ушные;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глазная;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 и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таблетки, покрытые пленочной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препараты, активные в отношении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замедленного высвобождения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гранулы, покрытые оболочкой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 и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мазь глазная;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мягкие;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таблеток набор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рилпивирин + тенофовир +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жевательные;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сахарной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лиофилизат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суспензии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внутрисосудистого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концентрат для приготовления раствора для внутрисосудистого и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внутрипузырного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концентрат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раствора для инфузий и внутрибрюшинного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мягкие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концентрат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внутриглазного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фактор некроза опухоли альфа-1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имплантат;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лиофилизат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суспензии для подкожного введения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для местного и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лиофилизат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раствора для внутримышечного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интраназального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вагинальные 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мягкие;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модифицированным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таблетки, покрытые пленочной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крем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модифицированным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интратекального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модифицированным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жидкость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жидкость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газ сжатый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эмульсия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эмульсия для инфузий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интратекального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трансдермальная терапевтическая система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пластырь трансдермальный;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защечные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кишечнорастворимые,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суспензии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суппозитории ректальные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(для детей)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таблетки пролонгированного действия,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с пролонгированным 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модифицированным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высвобождением;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драже;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раствор для внутримышечного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 (масляный);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диспергируемые в полости рта;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для рассасывания;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диспергируемые в полости рта;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для рассасывания;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драже;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селективные ингибиторы обратного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модифицированным высвобождением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концентрат для приготовления раствора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защечные;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подъязычные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трансдермальная терапевтическая система;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инфузий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прочие препараты для лечения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кишечнорастворимой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для наружного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эмульсия для наружного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деконгестанты и другие препараты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назальный;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 (для детей);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 (для детей)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местного применения;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для местного применения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дозированный,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активируемый вдохом;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покрытые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 с порошком для ингаляций набор;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порошок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дозированный, активируемый вдохом;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назальный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назальные;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кишечнорастворимые;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ингаляций дозированная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с порошком для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аэрозоль для ингаляций дозированный;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спрей назальный дозированный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подкожного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пролонгированного действия, покрытые пленочной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 пролонгированного действия;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пастилки;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 и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для рассасывания;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шипучие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гранулы для приготовления сиропа;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раствора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 и ингаляций;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шипучие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раствор для внутривенного и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оболочкой;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сироп;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приема внутрь;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эндотрахеального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суспензия для эндотрахеального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эмульсии для ингаляционного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мазь глазная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гель глазной;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другие противоглаукомные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бутиламиногидрок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глазные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внутриглазного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капли ушные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аллерген бактерий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и подкожного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кальция тринатрия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лиофилизат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раствора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 и ингаляций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диспергируемые;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комплекс (</w:t>
            </w:r>
            <w:r w:rsidRPr="00033982">
              <w:rPr>
                <w:rFonts w:ascii="Calibri" w:hAnsi="Calibri" w:cs="Calibri"/>
                <w:noProof/>
                <w:position w:val="-6"/>
                <w:sz w:val="22"/>
                <w:szCs w:val="20"/>
              </w:rPr>
              <w:drawing>
                <wp:inline distT="0" distB="0" distL="0" distR="0">
                  <wp:extent cx="133350" cy="219075"/>
                  <wp:effectExtent l="0" t="0" r="0" b="9525"/>
                  <wp:docPr id="4" name="Рисунок 4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82">
              <w:rPr>
                <w:rFonts w:ascii="Calibri" w:hAnsi="Calibri" w:cs="Calibri"/>
                <w:sz w:val="22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 жевательные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капсулы;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аминокислоты и их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таблетки, покрытые пленочной оболочкой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внутрисосудистого введения;</w:t>
            </w:r>
          </w:p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инъекций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диагностические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 xml:space="preserve">лиофилизат для приготовления </w:t>
            </w:r>
            <w:r w:rsidRPr="00033982">
              <w:rPr>
                <w:rFonts w:ascii="Calibri" w:hAnsi="Calibri" w:cs="Calibri"/>
                <w:sz w:val="22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33982" w:rsidRPr="00033982" w:rsidTr="00F04C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82" w:rsidRPr="00033982" w:rsidRDefault="00033982" w:rsidP="0003398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33982">
              <w:rPr>
                <w:rFonts w:ascii="Calibri" w:hAnsi="Calibri" w:cs="Calibri"/>
                <w:sz w:val="22"/>
                <w:szCs w:val="20"/>
              </w:rPr>
              <w:t>раствор для внутривенного введения</w:t>
            </w:r>
          </w:p>
        </w:tc>
      </w:tr>
    </w:tbl>
    <w:p w:rsidR="00033982" w:rsidRDefault="00033982" w:rsidP="000339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3E0" w:rsidRPr="008C23E0" w:rsidRDefault="008C23E0" w:rsidP="008C23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7EDC" w:rsidRDefault="00287EDC" w:rsidP="00287EDC">
      <w:pPr>
        <w:sectPr w:rsidR="00287EDC" w:rsidSect="009F0C65">
          <w:pgSz w:w="11905" w:h="16838"/>
          <w:pgMar w:top="568" w:right="851" w:bottom="426" w:left="1134" w:header="0" w:footer="0" w:gutter="0"/>
          <w:cols w:space="720"/>
          <w:docGrid w:linePitch="326"/>
        </w:sectPr>
      </w:pPr>
    </w:p>
    <w:p w:rsidR="00993393" w:rsidRDefault="00993393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8C23E0" w:rsidRDefault="008C23E0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993393" w:rsidRDefault="00993393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CD1C12" w:rsidRDefault="00993393" w:rsidP="00993393">
      <w:pPr>
        <w:jc w:val="center"/>
      </w:pPr>
      <w:r>
        <w:t xml:space="preserve">    </w:t>
      </w:r>
    </w:p>
    <w:p w:rsidR="00CD1C12" w:rsidRDefault="00CD1C12" w:rsidP="00993393">
      <w:pPr>
        <w:jc w:val="center"/>
      </w:pPr>
    </w:p>
    <w:p w:rsidR="00CD1C12" w:rsidRDefault="00CD1C12" w:rsidP="00993393">
      <w:pPr>
        <w:jc w:val="center"/>
      </w:pPr>
    </w:p>
    <w:p w:rsidR="00C11A81" w:rsidRDefault="00C11A81" w:rsidP="00C11A81"/>
    <w:sectPr w:rsidR="00C11A81" w:rsidSect="008C23E0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>
        <v:imagedata r:id="rId1" o:title=""/>
      </v:shape>
    </w:pict>
  </w:numPicBullet>
  <w:abstractNum w:abstractNumId="0" w15:restartNumberingAfterBreak="0">
    <w:nsid w:val="1FE543CA"/>
    <w:multiLevelType w:val="hybridMultilevel"/>
    <w:tmpl w:val="1E20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1650EF"/>
    <w:multiLevelType w:val="hybridMultilevel"/>
    <w:tmpl w:val="58F050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FA3"/>
    <w:multiLevelType w:val="hybridMultilevel"/>
    <w:tmpl w:val="8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2810"/>
    <w:multiLevelType w:val="hybridMultilevel"/>
    <w:tmpl w:val="730C306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3E51"/>
    <w:multiLevelType w:val="hybridMultilevel"/>
    <w:tmpl w:val="E550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0089"/>
    <w:multiLevelType w:val="hybridMultilevel"/>
    <w:tmpl w:val="9AA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56322D"/>
    <w:multiLevelType w:val="hybridMultilevel"/>
    <w:tmpl w:val="448065E0"/>
    <w:lvl w:ilvl="0" w:tplc="99C6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14944"/>
    <w:multiLevelType w:val="multilevel"/>
    <w:tmpl w:val="ED683C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A710E"/>
    <w:multiLevelType w:val="hybridMultilevel"/>
    <w:tmpl w:val="F79A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23"/>
    <w:rsid w:val="000051BA"/>
    <w:rsid w:val="00033982"/>
    <w:rsid w:val="00090D09"/>
    <w:rsid w:val="000C743D"/>
    <w:rsid w:val="00124731"/>
    <w:rsid w:val="00197E64"/>
    <w:rsid w:val="001C624E"/>
    <w:rsid w:val="002600FA"/>
    <w:rsid w:val="00271765"/>
    <w:rsid w:val="00287EDC"/>
    <w:rsid w:val="002B5652"/>
    <w:rsid w:val="00313698"/>
    <w:rsid w:val="003A4603"/>
    <w:rsid w:val="003B4F2D"/>
    <w:rsid w:val="0042018F"/>
    <w:rsid w:val="004462AD"/>
    <w:rsid w:val="00493426"/>
    <w:rsid w:val="00540C44"/>
    <w:rsid w:val="005F1B8D"/>
    <w:rsid w:val="00614A98"/>
    <w:rsid w:val="006A2E23"/>
    <w:rsid w:val="008C23E0"/>
    <w:rsid w:val="00935C03"/>
    <w:rsid w:val="00935FA5"/>
    <w:rsid w:val="00993393"/>
    <w:rsid w:val="009B2E9A"/>
    <w:rsid w:val="009F0C65"/>
    <w:rsid w:val="00A569A7"/>
    <w:rsid w:val="00B12255"/>
    <w:rsid w:val="00B32282"/>
    <w:rsid w:val="00C11A81"/>
    <w:rsid w:val="00C34848"/>
    <w:rsid w:val="00CD1C12"/>
    <w:rsid w:val="00D70529"/>
    <w:rsid w:val="00D8459F"/>
    <w:rsid w:val="00DC380B"/>
    <w:rsid w:val="00E810ED"/>
    <w:rsid w:val="00F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23A2"/>
  <w15:chartTrackingRefBased/>
  <w15:docId w15:val="{ECCA72EF-DC18-457B-9BDD-2F4914D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39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99339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3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982"/>
  </w:style>
  <w:style w:type="numbering" w:customStyle="1" w:styleId="2">
    <w:name w:val="Нет списка2"/>
    <w:next w:val="a2"/>
    <w:uiPriority w:val="99"/>
    <w:semiHidden/>
    <w:unhideWhenUsed/>
    <w:rsid w:val="00033982"/>
  </w:style>
  <w:style w:type="paragraph" w:styleId="a6">
    <w:name w:val="List Paragraph"/>
    <w:basedOn w:val="a"/>
    <w:uiPriority w:val="34"/>
    <w:qFormat/>
    <w:rsid w:val="00CD1C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7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D78947BA22EC58D70BAEE44C4C9762A50B3384AA7781290CE385556714D056F23AB6D3415D924FC143272559A1D636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14630</Words>
  <Characters>83397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Дараганова Елена Викторовна</dc:creator>
  <cp:keywords/>
  <dc:description/>
  <cp:lastModifiedBy>PROGRAMMIST</cp:lastModifiedBy>
  <cp:revision>2</cp:revision>
  <cp:lastPrinted>2019-02-18T12:25:00Z</cp:lastPrinted>
  <dcterms:created xsi:type="dcterms:W3CDTF">2019-03-05T08:21:00Z</dcterms:created>
  <dcterms:modified xsi:type="dcterms:W3CDTF">2019-03-05T08:21:00Z</dcterms:modified>
</cp:coreProperties>
</file>