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CE" w:rsidRPr="00DC41CE" w:rsidRDefault="00DC41CE" w:rsidP="00DC41CE">
      <w:pPr>
        <w:shd w:val="clear" w:color="auto" w:fill="FFFFFF"/>
        <w:spacing w:after="100" w:afterAutospacing="1" w:line="240" w:lineRule="auto"/>
        <w:jc w:val="both"/>
        <w:rPr>
          <w:rFonts w:ascii="Rubik" w:eastAsia="Times New Roman" w:hAnsi="Rubik" w:cs="Rubik"/>
          <w:color w:val="000000"/>
          <w:sz w:val="21"/>
          <w:szCs w:val="21"/>
          <w:lang w:eastAsia="ru-RU"/>
        </w:rPr>
      </w:pPr>
      <w:r w:rsidRPr="00DC41CE">
        <w:rPr>
          <w:rFonts w:ascii="Rubik" w:eastAsia="Times New Roman" w:hAnsi="Rubik" w:cs="Rubik"/>
          <w:color w:val="000000"/>
          <w:sz w:val="21"/>
          <w:szCs w:val="21"/>
          <w:lang w:eastAsia="ru-RU"/>
        </w:rPr>
        <w:t>НИИТОН СГМУ является одним из основных участников в реализации государственного задания по оказанию высокотехнологичной медицинской помощи (ВМП) гражданам Российской Федерации.</w:t>
      </w:r>
    </w:p>
    <w:p w:rsidR="00DC41CE" w:rsidRPr="00DC41CE" w:rsidRDefault="00DC41CE" w:rsidP="00DC41CE">
      <w:pPr>
        <w:shd w:val="clear" w:color="auto" w:fill="FFFFFF"/>
        <w:spacing w:after="100" w:afterAutospacing="1" w:line="240" w:lineRule="auto"/>
        <w:jc w:val="both"/>
        <w:rPr>
          <w:rFonts w:ascii="Rubik" w:eastAsia="Times New Roman" w:hAnsi="Rubik" w:cs="Rubik"/>
          <w:color w:val="000000"/>
          <w:sz w:val="21"/>
          <w:szCs w:val="21"/>
          <w:lang w:eastAsia="ru-RU"/>
        </w:rPr>
      </w:pPr>
      <w:r w:rsidRPr="00DC41CE">
        <w:rPr>
          <w:rFonts w:ascii="Rubik" w:eastAsia="Times New Roman" w:hAnsi="Rubik" w:cs="Rubik"/>
          <w:color w:val="000000"/>
          <w:sz w:val="21"/>
          <w:szCs w:val="21"/>
          <w:lang w:eastAsia="ru-RU"/>
        </w:rPr>
        <w:t>Данный вид медицинской помощи оказывается бесплатно (в том числе лекарственное обеспечение) и осуществляется по следующим профилям:</w:t>
      </w:r>
    </w:p>
    <w:p w:rsidR="00DC41CE" w:rsidRPr="00DC41CE" w:rsidRDefault="00DC41CE" w:rsidP="00DC4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ubik" w:eastAsia="Times New Roman" w:hAnsi="Rubik" w:cs="Rubik"/>
          <w:color w:val="000000"/>
          <w:sz w:val="24"/>
          <w:szCs w:val="24"/>
          <w:lang w:eastAsia="ru-RU"/>
        </w:rPr>
      </w:pPr>
      <w:r w:rsidRPr="00DC41CE">
        <w:rPr>
          <w:rFonts w:ascii="Rubik" w:eastAsia="Times New Roman" w:hAnsi="Rubik" w:cs="Rubik"/>
          <w:color w:val="000000"/>
          <w:sz w:val="24"/>
          <w:szCs w:val="24"/>
          <w:lang w:eastAsia="ru-RU"/>
        </w:rPr>
        <w:t>травматология и ортопедия</w:t>
      </w:r>
    </w:p>
    <w:p w:rsidR="00DC41CE" w:rsidRPr="00DC41CE" w:rsidRDefault="00DC41CE" w:rsidP="00DC4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ubik" w:eastAsia="Times New Roman" w:hAnsi="Rubik" w:cs="Rubik"/>
          <w:color w:val="000000"/>
          <w:sz w:val="24"/>
          <w:szCs w:val="24"/>
          <w:lang w:eastAsia="ru-RU"/>
        </w:rPr>
      </w:pPr>
      <w:r w:rsidRPr="00DC41CE">
        <w:rPr>
          <w:rFonts w:ascii="Rubik" w:eastAsia="Times New Roman" w:hAnsi="Rubik" w:cs="Rubik"/>
          <w:color w:val="000000"/>
          <w:sz w:val="24"/>
          <w:szCs w:val="24"/>
          <w:lang w:eastAsia="ru-RU"/>
        </w:rPr>
        <w:t>нейрохирургия</w:t>
      </w:r>
    </w:p>
    <w:p w:rsidR="00DC41CE" w:rsidRPr="00DC41CE" w:rsidRDefault="00DC41CE" w:rsidP="00DC4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ubik" w:eastAsia="Times New Roman" w:hAnsi="Rubik" w:cs="Rubik"/>
          <w:color w:val="000000"/>
          <w:sz w:val="24"/>
          <w:szCs w:val="24"/>
          <w:lang w:eastAsia="ru-RU"/>
        </w:rPr>
      </w:pPr>
      <w:r w:rsidRPr="00DC41CE">
        <w:rPr>
          <w:rFonts w:ascii="Rubik" w:eastAsia="Times New Roman" w:hAnsi="Rubik" w:cs="Rubik"/>
          <w:color w:val="000000"/>
          <w:sz w:val="24"/>
          <w:szCs w:val="24"/>
          <w:lang w:eastAsia="ru-RU"/>
        </w:rPr>
        <w:t>онкология</w:t>
      </w:r>
    </w:p>
    <w:p w:rsidR="00DC41CE" w:rsidRPr="00DC41CE" w:rsidRDefault="00DC41CE" w:rsidP="00DC41CE">
      <w:pPr>
        <w:shd w:val="clear" w:color="auto" w:fill="FFFFFF"/>
        <w:spacing w:after="100" w:afterAutospacing="1" w:line="240" w:lineRule="auto"/>
        <w:jc w:val="both"/>
        <w:rPr>
          <w:rFonts w:ascii="Rubik" w:eastAsia="Times New Roman" w:hAnsi="Rubik" w:cs="Rubik"/>
          <w:color w:val="000000"/>
          <w:sz w:val="21"/>
          <w:szCs w:val="21"/>
          <w:lang w:eastAsia="ru-RU"/>
        </w:rPr>
      </w:pPr>
      <w:r w:rsidRPr="00DC41CE">
        <w:rPr>
          <w:rFonts w:ascii="Rubik" w:eastAsia="Times New Roman" w:hAnsi="Rubik" w:cs="Rubik"/>
          <w:color w:val="000000"/>
          <w:sz w:val="21"/>
          <w:szCs w:val="21"/>
          <w:lang w:eastAsia="ru-RU"/>
        </w:rPr>
        <w:t>Ежегодно, ВМП в нашем институте получают более 5000 человек.</w:t>
      </w:r>
    </w:p>
    <w:p w:rsidR="00DC41CE" w:rsidRPr="00DC41CE" w:rsidRDefault="00DC41CE" w:rsidP="00DC41CE">
      <w:pPr>
        <w:shd w:val="clear" w:color="auto" w:fill="FFFFFF"/>
        <w:spacing w:after="100" w:afterAutospacing="1" w:line="240" w:lineRule="auto"/>
        <w:jc w:val="both"/>
        <w:rPr>
          <w:rFonts w:ascii="Rubik" w:eastAsia="Times New Roman" w:hAnsi="Rubik" w:cs="Rubik"/>
          <w:color w:val="000000"/>
          <w:sz w:val="21"/>
          <w:szCs w:val="21"/>
          <w:lang w:eastAsia="ru-RU"/>
        </w:rPr>
      </w:pPr>
      <w:r w:rsidRPr="00DC41CE">
        <w:rPr>
          <w:rFonts w:ascii="Rubik" w:eastAsia="Times New Roman" w:hAnsi="Rubik" w:cs="Rubik"/>
          <w:color w:val="000000"/>
          <w:sz w:val="21"/>
          <w:szCs w:val="21"/>
          <w:lang w:eastAsia="ru-RU"/>
        </w:rPr>
        <w:t>Отдельным направлением оказания ВМП в институте является тотальное эндопротезирование: более 3500 больных ежегодно благодаря современным технологиям и искусству наших специалистов возвращаются к полноценной жизни. Мы оказываем высокотехнологичную медицинскую помощь больным из 44 регионов Российской Федерации.</w:t>
      </w:r>
    </w:p>
    <w:p w:rsidR="00DC41CE" w:rsidRPr="00DC41CE" w:rsidRDefault="00DC41CE" w:rsidP="00DC41CE">
      <w:pPr>
        <w:shd w:val="clear" w:color="auto" w:fill="FFFFFF"/>
        <w:spacing w:after="100" w:afterAutospacing="1" w:line="240" w:lineRule="auto"/>
        <w:jc w:val="both"/>
        <w:rPr>
          <w:rFonts w:ascii="Rubik" w:eastAsia="Times New Roman" w:hAnsi="Rubik" w:cs="Rubik"/>
          <w:color w:val="000000"/>
          <w:sz w:val="21"/>
          <w:szCs w:val="21"/>
          <w:lang w:eastAsia="ru-RU"/>
        </w:rPr>
      </w:pPr>
      <w:r w:rsidRPr="00DC41CE">
        <w:rPr>
          <w:rFonts w:ascii="Rubik" w:eastAsia="Times New Roman" w:hAnsi="Rubik" w:cs="Rubik"/>
          <w:color w:val="000000"/>
          <w:sz w:val="21"/>
          <w:szCs w:val="21"/>
          <w:lang w:eastAsia="ru-RU"/>
        </w:rPr>
        <w:t>Объемы на оказание ВМП по регионам РФ ежегодно определяются приказами Минздрава России.</w:t>
      </w:r>
    </w:p>
    <w:p w:rsidR="00DC41CE" w:rsidRPr="00DC41CE" w:rsidRDefault="00DC41CE" w:rsidP="00DC41CE">
      <w:pPr>
        <w:shd w:val="clear" w:color="auto" w:fill="FFFFFF"/>
        <w:spacing w:after="100" w:afterAutospacing="1" w:line="240" w:lineRule="auto"/>
        <w:jc w:val="both"/>
        <w:rPr>
          <w:rFonts w:ascii="Rubik" w:eastAsia="Times New Roman" w:hAnsi="Rubik" w:cs="Rubik"/>
          <w:color w:val="000000"/>
          <w:sz w:val="21"/>
          <w:szCs w:val="21"/>
          <w:lang w:eastAsia="ru-RU"/>
        </w:rPr>
      </w:pPr>
      <w:r w:rsidRPr="00DC41CE">
        <w:rPr>
          <w:rFonts w:ascii="Rubik" w:eastAsia="Times New Roman" w:hAnsi="Rubik" w:cs="Rubik"/>
          <w:color w:val="000000"/>
          <w:sz w:val="21"/>
          <w:szCs w:val="21"/>
          <w:lang w:eastAsia="ru-RU"/>
        </w:rPr>
        <w:t>Пациенты, получившие высокотехнологическую медицинскую помощь, направляются на реабилитацию в санаторно-курортные учреждения в соответствии с приказом Минздравсоцразвития России №138н от 27 марта 2009 г. "О порядке организации работы по распределению путевок и направлению больных из учреждений, оказывающих специализированную, в том числе высокотехнологичную, медицинскую помощь, на лечение в санаторно-курортные учреждения, находящиеся в ведении Минздравсоцразвития России".</w:t>
      </w:r>
    </w:p>
    <w:p w:rsidR="00E7177D" w:rsidRDefault="00E7177D">
      <w:bookmarkStart w:id="0" w:name="_GoBack"/>
      <w:bookmarkEnd w:id="0"/>
    </w:p>
    <w:sectPr w:rsidR="00E7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ubik">
    <w:panose1 w:val="02000604000000020004"/>
    <w:charset w:val="CC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0121D"/>
    <w:multiLevelType w:val="multilevel"/>
    <w:tmpl w:val="13A6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E8"/>
    <w:rsid w:val="00230DE8"/>
    <w:rsid w:val="00DC41CE"/>
    <w:rsid w:val="00E7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66312-A563-4BB3-A1EE-83B44BC3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2019-11-20T06:55:00Z</dcterms:created>
  <dcterms:modified xsi:type="dcterms:W3CDTF">2019-11-20T06:55:00Z</dcterms:modified>
</cp:coreProperties>
</file>